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013"/>
        <w:numPr>
          <w:ilvl w:val="0"/>
          <w:numId w:val="0"/>
        </w:numPr>
        <w:ind w:right="54"/>
        <w:jc w:val="center"/>
        <w:keepLines w:val="0"/>
        <w:keepNext w:val="0"/>
        <w:spacing w:before="0" w:after="0"/>
        <w:widowControl w:val="off"/>
        <w:rPr>
          <w:rFonts w:ascii="Times New Roman" w:hAnsi="Times New Roman"/>
          <w:sz w:val="24"/>
          <w:szCs w:val="24"/>
          <w:highlight w:val="white"/>
        </w:rPr>
      </w:pPr>
      <w:r>
        <w:rPr>
          <w:rFonts w:ascii="Times New Roman" w:hAnsi="Times New Roman"/>
          <w:sz w:val="24"/>
          <w:szCs w:val="24"/>
        </w:rPr>
        <w:t xml:space="preserve">Протокол №</w:t>
      </w:r>
      <w:r>
        <w:rPr>
          <w:rFonts w:ascii="Times New Roman" w:hAnsi="Times New Roman"/>
          <w:sz w:val="24"/>
          <w:szCs w:val="24"/>
          <w:highlight w:val="white"/>
        </w:rPr>
        <w:t xml:space="preserve">РМР/</w:t>
      </w:r>
      <w:r>
        <w:rPr>
          <w:rFonts w:ascii="Times New Roman" w:hAnsi="Times New Roman"/>
          <w:sz w:val="24"/>
          <w:szCs w:val="24"/>
          <w:highlight w:val="white"/>
        </w:rPr>
        <w:t xml:space="preserve">1</w:t>
      </w:r>
      <w:r>
        <w:rPr>
          <w:rFonts w:ascii="Times New Roman" w:hAnsi="Times New Roman"/>
          <w:sz w:val="24"/>
          <w:szCs w:val="24"/>
          <w:highlight w:val="none"/>
        </w:rPr>
        <w:t xml:space="preserve">414</w:t>
      </w:r>
      <w:r>
        <w:rPr>
          <w:rFonts w:ascii="Times New Roman" w:hAnsi="Times New Roman"/>
          <w:sz w:val="24"/>
          <w:szCs w:val="24"/>
          <w:highlight w:val="white"/>
        </w:rPr>
      </w:r>
      <w:r>
        <w:rPr>
          <w:rFonts w:ascii="Times New Roman" w:hAnsi="Times New Roman"/>
          <w:sz w:val="24"/>
          <w:szCs w:val="24"/>
          <w:highlight w:val="white"/>
        </w:rPr>
      </w:r>
    </w:p>
    <w:p>
      <w:pPr>
        <w:ind w:right="54" w:firstLine="0"/>
        <w:jc w:val="center"/>
        <w:spacing w:line="240" w:lineRule="auto"/>
        <w:widowControl w:val="off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 xml:space="preserve">очного заседания Постоянно действующей конкурсной комиссии </w:t>
      </w:r>
      <w:r>
        <w:rPr>
          <w:b/>
          <w:sz w:val="24"/>
          <w:szCs w:val="24"/>
        </w:rPr>
        <w:br w:type="textWrapping" w:clear="all"/>
        <w:t xml:space="preserve">(далее - Комиссия) по рассмотрению и оценке вторых частей Заявок </w:t>
      </w:r>
      <w:r>
        <w:rPr>
          <w:b/>
          <w:sz w:val="24"/>
          <w:szCs w:val="24"/>
        </w:rPr>
        <w:br w:type="textWrapping" w:clear="all"/>
      </w:r>
      <w:r>
        <w:rPr>
          <w:b/>
          <w:bCs/>
          <w:sz w:val="24"/>
          <w:szCs w:val="24"/>
        </w:rPr>
        <w:t xml:space="preserve">и ценовых предложений Участников </w:t>
      </w:r>
      <w:r>
        <w:rPr>
          <w:b/>
          <w:bCs/>
          <w:sz w:val="24"/>
          <w:szCs w:val="24"/>
        </w:rPr>
        <w:br w:type="textWrapping" w:clear="all"/>
        <w:t xml:space="preserve">(Р</w:t>
      </w:r>
      <w:r>
        <w:rPr>
          <w:b/>
          <w:bCs/>
          <w:sz w:val="24"/>
          <w:szCs w:val="24"/>
        </w:rPr>
        <w:t xml:space="preserve">АД № </w:t>
      </w:r>
      <w:r>
        <w:rPr>
          <w:b/>
          <w:bCs/>
          <w:sz w:val="24"/>
          <w:szCs w:val="24"/>
        </w:rPr>
        <w:t xml:space="preserve">rssmr25298MC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/ ЕИС</w:t>
      </w:r>
      <w:r>
        <w:rPr>
          <w:b/>
          <w:bCs/>
          <w:sz w:val="24"/>
          <w:szCs w:val="24"/>
        </w:rPr>
        <w:t xml:space="preserve">32514586985</w:t>
      </w:r>
      <w:r>
        <w:rPr>
          <w:b/>
          <w:bCs/>
          <w:sz w:val="24"/>
          <w:szCs w:val="24"/>
        </w:rPr>
        <w:t xml:space="preserve">)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tbl>
      <w:tblPr>
        <w:tblW w:w="9923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4962"/>
        <w:gridCol w:w="2480"/>
        <w:gridCol w:w="2481"/>
      </w:tblGrid>
      <w:tr>
        <w:trPr>
          <w:trHeight w:val="495"/>
        </w:trPr>
        <w:tc>
          <w:tcPr>
            <w:tcW w:w="4962" w:type="dxa"/>
            <w:vAlign w:val="center"/>
            <w:textDirection w:val="lrTb"/>
            <w:noWrap w:val="false"/>
          </w:tcPr>
          <w:p>
            <w:pPr>
              <w:pStyle w:val="1039"/>
              <w:ind w:left="14" w:firstLine="1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Место заседания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480" w:type="dxa"/>
            <w:vAlign w:val="center"/>
            <w:textDirection w:val="lrTb"/>
            <w:noWrap w:val="false"/>
          </w:tcPr>
          <w:p>
            <w:pPr>
              <w:pStyle w:val="1039"/>
              <w:ind w:left="-79" w:right="-52" w:firstLine="1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Дата принятия решения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481" w:type="dxa"/>
            <w:vAlign w:val="center"/>
            <w:textDirection w:val="lrTb"/>
            <w:noWrap w:val="false"/>
          </w:tcPr>
          <w:p>
            <w:pPr>
              <w:pStyle w:val="1039"/>
              <w:ind w:left="-79" w:right="-52" w:firstLine="1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Дата подписания протокола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rPr>
          <w:trHeight w:val="944"/>
        </w:trPr>
        <w:tc>
          <w:tcPr>
            <w:tcW w:w="4962" w:type="dxa"/>
            <w:vAlign w:val="center"/>
            <w:textDirection w:val="lrTb"/>
            <w:noWrap w:val="false"/>
          </w:tcPr>
          <w:p>
            <w:pPr>
              <w:pStyle w:val="1039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Москва, 2-й Павелецкий проезд, д.3, стр.2, Департамент организации конкурсных процедур ПАО «Россети Московский регион»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480" w:type="dxa"/>
            <w:vAlign w:val="center"/>
            <w:textDirection w:val="lrTb"/>
            <w:noWrap w:val="false"/>
          </w:tcPr>
          <w:p>
            <w:pPr>
              <w:pStyle w:val="1039"/>
              <w:ind w:firstLine="0"/>
              <w:jc w:val="center"/>
              <w:tabs>
                <w:tab w:val="left" w:pos="567" w:leader="none"/>
                <w:tab w:val="left" w:pos="900" w:leader="none"/>
              </w:tabs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 xml:space="preserve">15.04</w:t>
            </w:r>
            <w:r>
              <w:rPr>
                <w:b/>
                <w:bCs/>
                <w:sz w:val="24"/>
                <w:szCs w:val="24"/>
                <w:highlight w:val="white"/>
              </w:rPr>
              <w:t xml:space="preserve">.2025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  <w:tc>
          <w:tcPr>
            <w:tcW w:w="2481" w:type="dxa"/>
            <w:vAlign w:val="center"/>
            <w:textDirection w:val="lrTb"/>
            <w:noWrap w:val="false"/>
          </w:tcPr>
          <w:p>
            <w:pPr>
              <w:pStyle w:val="1039"/>
              <w:ind w:firstLine="0"/>
              <w:jc w:val="center"/>
              <w:tabs>
                <w:tab w:val="left" w:pos="567" w:leader="none"/>
                <w:tab w:val="left" w:pos="900" w:leader="none"/>
              </w:tabs>
              <w:rPr>
                <w:b/>
                <w:bCs/>
                <w:sz w:val="24"/>
                <w:szCs w:val="24"/>
                <w:highlight w:val="white"/>
              </w:rPr>
            </w:pPr>
            <w:r>
              <w:rPr>
                <w:b/>
                <w:bCs/>
                <w:sz w:val="24"/>
                <w:szCs w:val="24"/>
                <w:highlight w:val="white"/>
              </w:rPr>
              <w:t xml:space="preserve">15.04</w:t>
            </w:r>
            <w:r>
              <w:rPr>
                <w:b/>
                <w:bCs/>
                <w:sz w:val="24"/>
                <w:szCs w:val="24"/>
                <w:highlight w:val="white"/>
              </w:rPr>
              <w:t xml:space="preserve">.2025</w:t>
            </w:r>
            <w:r>
              <w:rPr>
                <w:b/>
                <w:bCs/>
                <w:sz w:val="24"/>
                <w:szCs w:val="24"/>
                <w:highlight w:val="white"/>
              </w:rPr>
            </w:r>
            <w:r>
              <w:rPr>
                <w:b/>
                <w:bCs/>
                <w:sz w:val="24"/>
                <w:szCs w:val="24"/>
                <w:highlight w:val="white"/>
              </w:rPr>
            </w:r>
          </w:p>
        </w:tc>
      </w:tr>
    </w:tbl>
    <w:p>
      <w:pPr>
        <w:pStyle w:val="1013"/>
        <w:numPr>
          <w:ilvl w:val="0"/>
          <w:numId w:val="0"/>
        </w:numPr>
        <w:ind w:right="54"/>
        <w:keepLines w:val="0"/>
        <w:keepNext w:val="0"/>
        <w:spacing w:before="0" w:after="0"/>
        <w:widowControl w:val="off"/>
        <w:rPr>
          <w:rFonts w:ascii="Times New Roman" w:hAnsi="Times New Roman"/>
          <w:b w:val="0"/>
          <w:bCs w:val="0"/>
          <w:color w:val="000000"/>
          <w:sz w:val="24"/>
          <w:szCs w:val="24"/>
        </w:rPr>
      </w:pPr>
      <w:r>
        <w:rPr>
          <w:rFonts w:ascii="Times New Roman" w:hAnsi="Times New Roman"/>
          <w:b w:val="0"/>
          <w:bCs w:val="0"/>
          <w:color w:val="000000"/>
          <w:sz w:val="24"/>
          <w:szCs w:val="24"/>
        </w:rPr>
        <w:t xml:space="preserve">Настоящий Конкурс в электронной форме, участниками которого могут быть только субъекты малого и среднего предпринимательства, (далее – Закупка) проводится </w:t>
      </w:r>
      <w:r>
        <w:rPr>
          <w:rFonts w:ascii="Times New Roman" w:hAnsi="Times New Roman"/>
          <w:b w:val="0"/>
          <w:sz w:val="24"/>
          <w:szCs w:val="24"/>
        </w:rPr>
        <w:t xml:space="preserve">с использованием функционала электронной торговой площадки АО «Российский аукционный дом» (АО «РАД») (</w:t>
      </w:r>
      <w:hyperlink r:id="rId11" w:tooltip="https://tender.lot-online.ru" w:history="1">
        <w:r>
          <w:rPr>
            <w:rStyle w:val="991"/>
            <w:rFonts w:ascii="Times New Roman" w:hAnsi="Times New Roman"/>
            <w:sz w:val="24"/>
            <w:szCs w:val="24"/>
          </w:rPr>
          <w:t xml:space="preserve">https://tender.lot-online.ru</w:t>
        </w:r>
      </w:hyperlink>
      <w:r>
        <w:rPr>
          <w:rFonts w:ascii="Times New Roman" w:hAnsi="Times New Roman"/>
          <w:b w:val="0"/>
          <w:sz w:val="24"/>
          <w:szCs w:val="24"/>
        </w:rPr>
        <w:t xml:space="preserve">) согласно правилам работы данной системы</w:t>
      </w:r>
      <w:r>
        <w:rPr>
          <w:rFonts w:ascii="Times New Roman" w:hAnsi="Times New Roman"/>
          <w:b w:val="0"/>
          <w:bCs w:val="0"/>
          <w:color w:val="000000"/>
          <w:sz w:val="24"/>
          <w:szCs w:val="24"/>
        </w:rPr>
        <w:t xml:space="preserve">. </w:t>
      </w:r>
      <w:r>
        <w:rPr>
          <w:rFonts w:ascii="Times New Roman" w:hAnsi="Times New Roman"/>
          <w:b w:val="0"/>
          <w:bCs w:val="0"/>
          <w:color w:val="000000"/>
          <w:sz w:val="24"/>
          <w:szCs w:val="24"/>
        </w:rPr>
      </w:r>
      <w:r>
        <w:rPr>
          <w:rFonts w:ascii="Times New Roman" w:hAnsi="Times New Roman"/>
          <w:b w:val="0"/>
          <w:bCs w:val="0"/>
          <w:color w:val="000000"/>
          <w:sz w:val="24"/>
          <w:szCs w:val="24"/>
        </w:rPr>
      </w:r>
    </w:p>
    <w:p>
      <w:pPr>
        <w:pStyle w:val="1013"/>
        <w:numPr>
          <w:ilvl w:val="0"/>
          <w:numId w:val="0"/>
        </w:numPr>
        <w:ind w:right="54"/>
        <w:keepLines w:val="0"/>
        <w:keepNext w:val="0"/>
        <w:spacing w:before="0" w:after="0"/>
        <w:widowControl w:val="off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</w:r>
      <w:r>
        <w:rPr>
          <w:rFonts w:ascii="Times New Roman" w:hAnsi="Times New Roman"/>
          <w:b w:val="0"/>
          <w:bCs w:val="0"/>
          <w:sz w:val="24"/>
          <w:szCs w:val="24"/>
        </w:rPr>
      </w:r>
      <w:r>
        <w:rPr>
          <w:rFonts w:ascii="Times New Roman" w:hAnsi="Times New Roman"/>
          <w:b w:val="0"/>
          <w:bCs w:val="0"/>
          <w:sz w:val="24"/>
          <w:szCs w:val="24"/>
        </w:rPr>
      </w:r>
    </w:p>
    <w:p>
      <w:pPr>
        <w:pStyle w:val="1013"/>
        <w:numPr>
          <w:ilvl w:val="0"/>
          <w:numId w:val="20"/>
        </w:numPr>
        <w:ind w:left="567" w:right="54" w:hanging="567"/>
        <w:keepLines w:val="0"/>
        <w:keepNext w:val="0"/>
        <w:spacing w:before="0" w:after="0"/>
        <w:widowControl w:val="off"/>
        <w:rPr>
          <w:rFonts w:ascii="Times New Roman" w:hAnsi="Times New Roman"/>
          <w:bCs w:val="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ОБЩАЯ ИНФОРМАЦИЯ О ЗАКУПКЕ:</w:t>
      </w:r>
      <w:r>
        <w:rPr>
          <w:rFonts w:ascii="Times New Roman" w:hAnsi="Times New Roman"/>
          <w:bCs w:val="0"/>
          <w:sz w:val="24"/>
          <w:szCs w:val="24"/>
        </w:rPr>
      </w:r>
      <w:r>
        <w:rPr>
          <w:rFonts w:ascii="Times New Roman" w:hAnsi="Times New Roman"/>
          <w:bCs w:val="0"/>
          <w:sz w:val="24"/>
          <w:szCs w:val="24"/>
        </w:rPr>
      </w:r>
    </w:p>
    <w:p>
      <w:pPr>
        <w:ind w:right="196"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Предмет закупки</w:t>
      </w:r>
      <w:r>
        <w:rPr>
          <w:sz w:val="24"/>
          <w:szCs w:val="24"/>
        </w:rPr>
        <w:t xml:space="preserve">: определение подрядчика на выполнение плановых работ по ремонту</w:t>
      </w:r>
      <w:r>
        <w:rPr>
          <w:sz w:val="24"/>
          <w:szCs w:val="24"/>
        </w:rPr>
        <w:t xml:space="preserve"> ВЛ 0,4-10 кВ для нужд филиала ПАО «Россети Московский Регион» - Южные электрические сети в 2025 г.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right="196"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Основание проведения закупки:</w:t>
      </w:r>
      <w:r>
        <w:rPr>
          <w:sz w:val="24"/>
          <w:szCs w:val="24"/>
        </w:rPr>
        <w:t xml:space="preserve"> Распоряжение ПАО «Россети Московский регион» </w:t>
      </w:r>
      <w:r>
        <w:rPr>
          <w:sz w:val="24"/>
          <w:szCs w:val="24"/>
        </w:rPr>
        <w:t xml:space="preserve">№ 409-02/25-266р от 25.02.2025.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right="196" w:firstLine="0"/>
        <w:spacing w:line="240" w:lineRule="auto"/>
        <w:widowControl w:val="off"/>
        <w:tabs>
          <w:tab w:val="left" w:pos="567" w:leader="none"/>
        </w:tabs>
        <w:rPr>
          <w:sz w:val="24"/>
          <w:szCs w:val="24"/>
        </w:rPr>
        <w:outlineLvl w:val="1"/>
      </w:pPr>
      <w:r>
        <w:rPr>
          <w:sz w:val="24"/>
          <w:szCs w:val="24"/>
          <w:u w:val="single"/>
        </w:rPr>
        <w:t xml:space="preserve">Ограничение </w:t>
      </w:r>
      <w:r>
        <w:rPr>
          <w:sz w:val="24"/>
          <w:szCs w:val="24"/>
          <w:u w:val="single"/>
        </w:rPr>
        <w:t xml:space="preserve">участия только субъектов малого и среднего предпринимательства:</w:t>
      </w:r>
      <w:r>
        <w:rPr>
          <w:sz w:val="24"/>
          <w:szCs w:val="24"/>
        </w:rPr>
        <w:t xml:space="preserve"> установлено.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right="196" w:firstLine="0"/>
        <w:spacing w:line="240" w:lineRule="auto"/>
        <w:widowControl w:val="off"/>
        <w:tabs>
          <w:tab w:val="left" w:pos="567" w:leader="none"/>
        </w:tabs>
        <w:rPr>
          <w:sz w:val="24"/>
          <w:szCs w:val="24"/>
        </w:rPr>
        <w:outlineLvl w:val="1"/>
      </w:pPr>
      <w:r>
        <w:rPr>
          <w:sz w:val="24"/>
          <w:szCs w:val="24"/>
        </w:rPr>
        <w:t xml:space="preserve">Является спецторгами.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right="54" w:firstLine="0"/>
        <w:spacing w:line="240" w:lineRule="auto"/>
        <w:widowControl w:val="off"/>
        <w:tabs>
          <w:tab w:val="left" w:pos="567" w:leader="none"/>
        </w:tabs>
        <w:rPr>
          <w:sz w:val="24"/>
          <w:szCs w:val="24"/>
        </w:rPr>
        <w:outlineLvl w:val="1"/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9923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5103"/>
        <w:gridCol w:w="4820"/>
      </w:tblGrid>
      <w:tr>
        <w:trPr>
          <w:trHeight w:val="549"/>
        </w:trPr>
        <w:tc>
          <w:tcPr>
            <w:tcW w:w="5103" w:type="dxa"/>
            <w:vAlign w:val="center"/>
            <w:textDirection w:val="lrTb"/>
            <w:noWrap w:val="false"/>
          </w:tcPr>
          <w:p>
            <w:pPr>
              <w:pStyle w:val="1039"/>
              <w:contextualSpacing/>
              <w:ind w:firstLine="0"/>
              <w:jc w:val="center"/>
              <w:tabs>
                <w:tab w:val="left" w:pos="567" w:leader="none"/>
                <w:tab w:val="left" w:pos="900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Начальная (максимальная) цена закупки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4820" w:type="dxa"/>
            <w:vAlign w:val="center"/>
            <w:textDirection w:val="lrTb"/>
            <w:noWrap w:val="false"/>
          </w:tcPr>
          <w:p>
            <w:pPr>
              <w:pStyle w:val="1039"/>
              <w:contextualSpacing/>
              <w:ind w:firstLine="0"/>
              <w:jc w:val="center"/>
              <w:tabs>
                <w:tab w:val="left" w:pos="567" w:leader="none"/>
                <w:tab w:val="left" w:pos="900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Сроки выполнения работ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rPr>
          <w:trHeight w:val="1147"/>
        </w:trPr>
        <w:tc>
          <w:tcPr>
            <w:tcW w:w="5103" w:type="dxa"/>
            <w:vAlign w:val="center"/>
            <w:textDirection w:val="lrTb"/>
            <w:noWrap w:val="false"/>
          </w:tcPr>
          <w:p>
            <w:pPr>
              <w:ind w:left="459" w:hanging="567"/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107 318 118,61</w:t>
            </w:r>
            <w:r>
              <w:rPr>
                <w:sz w:val="24"/>
                <w:szCs w:val="24"/>
              </w:rPr>
              <w:t xml:space="preserve"> руб.,  в т.ч. НДС 20%.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4820" w:type="dxa"/>
            <w:vAlign w:val="center"/>
            <w:textDirection w:val="lrTb"/>
            <w:noWrap w:val="false"/>
          </w:tcPr>
          <w:p>
            <w:pPr>
              <w:ind w:firstLine="0"/>
              <w:spacing w:line="240" w:lineRule="auto"/>
              <w:widowControl w:val="off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Начало: с момента заключения договора.</w:t>
            </w:r>
            <w:r>
              <w:rPr>
                <w:sz w:val="24"/>
                <w:szCs w:val="24"/>
              </w:rPr>
              <w:t xml:space="preserve"> Окончание: 31 декабря 2025 г.</w:t>
            </w: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</w:p>
        </w:tc>
      </w:tr>
    </w:tbl>
    <w:p>
      <w:pPr>
        <w:pStyle w:val="1013"/>
        <w:numPr>
          <w:ilvl w:val="0"/>
          <w:numId w:val="0"/>
        </w:numPr>
        <w:ind w:right="-23"/>
        <w:keepLines w:val="0"/>
        <w:keepNext w:val="0"/>
        <w:spacing w:before="0" w:after="0"/>
        <w:widowControl w:val="off"/>
        <w:tabs>
          <w:tab w:val="left" w:pos="284" w:leader="none"/>
          <w:tab w:val="left" w:pos="567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13"/>
        <w:numPr>
          <w:ilvl w:val="0"/>
          <w:numId w:val="20"/>
        </w:numPr>
        <w:ind w:left="0" w:right="54" w:firstLine="0"/>
        <w:keepLines w:val="0"/>
        <w:keepNext w:val="0"/>
        <w:spacing w:before="0" w:after="0" w:line="240" w:lineRule="auto"/>
        <w:widowControl w:val="off"/>
        <w:tabs>
          <w:tab w:val="left" w:pos="567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В ОЧНОМ ЗАСЕДАНИИ КОМИССИИ ПРИНИМАЛИ УЧАСТИЕ: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left="0" w:right="195" w:firstLine="0"/>
        <w:jc w:val="both"/>
        <w:spacing w:line="240" w:lineRule="auto"/>
        <w:shd w:val="clear" w:color="ffffff" w:fill="ffffff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2c2d2e"/>
          <w:sz w:val="24"/>
          <w:szCs w:val="24"/>
        </w:rPr>
        <w:t xml:space="preserve">Заместители председателя Комиссии:</w:t>
      </w:r>
      <w:r>
        <w:rPr>
          <w:sz w:val="24"/>
          <w:szCs w:val="24"/>
        </w:rPr>
      </w:r>
    </w:p>
    <w:p>
      <w:pPr>
        <w:ind w:left="0" w:right="195" w:firstLine="0"/>
        <w:jc w:val="both"/>
        <w:spacing w:line="240" w:lineRule="auto"/>
        <w:shd w:val="clear" w:color="ffffff" w:fill="ffffff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2c2d2e"/>
          <w:sz w:val="24"/>
          <w:szCs w:val="24"/>
        </w:rPr>
        <w:t xml:space="preserve">Старостина Я.О. – Директор департамента организации конкурсных процедур ПАО «Россети Московский регион»;</w:t>
      </w:r>
      <w:r>
        <w:rPr>
          <w:sz w:val="24"/>
          <w:szCs w:val="24"/>
        </w:rPr>
      </w:r>
    </w:p>
    <w:p>
      <w:pPr>
        <w:ind w:left="0" w:right="195" w:firstLine="0"/>
        <w:jc w:val="both"/>
        <w:spacing w:line="240" w:lineRule="auto"/>
        <w:shd w:val="clear" w:color="ffffff" w:fill="ffffff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2c2d2e"/>
          <w:sz w:val="24"/>
          <w:szCs w:val="24"/>
        </w:rPr>
        <w:t xml:space="preserve">Коков А.А. – Заместитель директора департамента экономической безопасности и противодействия коррупции - Начальник контрольно-экспертного управления ПАО «Россети Московский регион».</w:t>
      </w:r>
      <w:r>
        <w:rPr>
          <w:sz w:val="24"/>
          <w:szCs w:val="24"/>
        </w:rPr>
      </w:r>
    </w:p>
    <w:p>
      <w:pPr>
        <w:ind w:left="0" w:right="195" w:firstLine="0"/>
        <w:jc w:val="both"/>
        <w:spacing w:line="240" w:lineRule="auto"/>
        <w:shd w:val="clear" w:color="ffffff" w:fill="ffffff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2c2d2e"/>
          <w:sz w:val="24"/>
          <w:szCs w:val="24"/>
        </w:rPr>
        <w:t xml:space="preserve">Члены Комиссии:</w:t>
      </w:r>
      <w:r>
        <w:rPr>
          <w:sz w:val="24"/>
          <w:szCs w:val="24"/>
        </w:rPr>
      </w:r>
    </w:p>
    <w:p>
      <w:pPr>
        <w:ind w:left="0" w:right="54" w:firstLine="0"/>
        <w:jc w:val="both"/>
        <w:spacing w:line="240" w:lineRule="auto"/>
        <w:shd w:val="clear" w:color="ffffff" w:fill="ffffff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2c2d2e"/>
          <w:sz w:val="24"/>
          <w:szCs w:val="24"/>
        </w:rPr>
        <w:t xml:space="preserve">Рожков В.В. – Первый заместитель главного инженера по управлению производственными активами ПАО «Россети Московский регион»;</w:t>
      </w:r>
      <w:r>
        <w:rPr>
          <w:sz w:val="24"/>
          <w:szCs w:val="24"/>
        </w:rPr>
      </w:r>
    </w:p>
    <w:p>
      <w:pPr>
        <w:ind w:left="0" w:right="54" w:firstLine="0"/>
        <w:jc w:val="both"/>
        <w:spacing w:line="240" w:lineRule="auto"/>
        <w:shd w:val="clear" w:color="ffffff" w:fill="ffffff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2c2d2e"/>
          <w:sz w:val="24"/>
          <w:szCs w:val="24"/>
        </w:rPr>
        <w:t xml:space="preserve">Савосько С.В. – Директор департамента производственной безопасности ПАО «Россети Московский регион»;</w:t>
      </w:r>
      <w:r>
        <w:rPr>
          <w:sz w:val="24"/>
          <w:szCs w:val="24"/>
        </w:rPr>
      </w:r>
    </w:p>
    <w:p>
      <w:pPr>
        <w:ind w:left="0" w:right="54" w:firstLine="0"/>
        <w:jc w:val="both"/>
        <w:spacing w:line="240" w:lineRule="auto"/>
        <w:shd w:val="clear" w:color="ffffff" w:fill="ffffff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2c2d2e"/>
          <w:sz w:val="24"/>
          <w:szCs w:val="24"/>
        </w:rPr>
        <w:t xml:space="preserve">Попко О.О. – Заместитель директора департамента корпоративных финансов ПАО «Россети Московский регион»;</w:t>
      </w:r>
      <w:r>
        <w:rPr>
          <w:sz w:val="24"/>
          <w:szCs w:val="24"/>
        </w:rPr>
      </w:r>
    </w:p>
    <w:p>
      <w:pPr>
        <w:ind w:left="0" w:right="54" w:firstLine="0"/>
        <w:jc w:val="both"/>
        <w:spacing w:line="240" w:lineRule="auto"/>
        <w:shd w:val="clear" w:color="ffffff" w:fill="ffffff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2c2d2e"/>
          <w:sz w:val="24"/>
          <w:szCs w:val="24"/>
        </w:rPr>
        <w:t xml:space="preserve">Анасенко С.А. – Начальник управления организации технического обслуживания и ремонтов ПАО «Россети Московский регион»;</w:t>
      </w:r>
      <w:r>
        <w:rPr>
          <w:sz w:val="24"/>
          <w:szCs w:val="24"/>
        </w:rPr>
      </w:r>
    </w:p>
    <w:p>
      <w:pPr>
        <w:ind w:left="0" w:right="54" w:firstLine="0"/>
        <w:jc w:val="both"/>
        <w:spacing w:line="240" w:lineRule="auto"/>
        <w:shd w:val="clear" w:color="ffffff" w:fill="ffffff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2c2d2e"/>
          <w:sz w:val="24"/>
          <w:szCs w:val="24"/>
        </w:rPr>
        <w:t xml:space="preserve">Омельяненко А.А. – Начальник управления материально-технического снабжения ПАО «Россети Московский регион»;</w:t>
      </w:r>
      <w:r>
        <w:rPr>
          <w:sz w:val="24"/>
          <w:szCs w:val="24"/>
        </w:rPr>
      </w:r>
    </w:p>
    <w:p>
      <w:pPr>
        <w:ind w:left="0" w:right="54" w:firstLine="0"/>
        <w:jc w:val="both"/>
        <w:spacing w:line="240" w:lineRule="auto"/>
        <w:shd w:val="clear" w:color="ffffff" w:fill="ffffff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2c2d2e"/>
          <w:sz w:val="24"/>
          <w:szCs w:val="24"/>
        </w:rPr>
        <w:t xml:space="preserve">Голубев Д.В. – Начальник управления мониторинга рынка ТМЦ и расчетов с поставщиками ПАО «Россети Московский регион»;</w:t>
      </w:r>
      <w:r>
        <w:rPr>
          <w:sz w:val="24"/>
          <w:szCs w:val="24"/>
        </w:rPr>
      </w:r>
    </w:p>
    <w:p>
      <w:pPr>
        <w:ind w:left="0" w:right="54" w:firstLine="0"/>
        <w:jc w:val="both"/>
        <w:spacing w:line="240" w:lineRule="auto"/>
        <w:shd w:val="clear" w:color="ffffff" w:fill="ffffff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2c2d2e"/>
          <w:sz w:val="24"/>
          <w:szCs w:val="24"/>
          <w:highlight w:val="white"/>
        </w:rPr>
        <w:t xml:space="preserve">Мауль А.В. – Начальник управления нормативного регулирования и сопровождения договорной работы ПАО «Россети Московский регион»</w:t>
      </w:r>
      <w:r>
        <w:rPr>
          <w:rFonts w:ascii="Times New Roman" w:hAnsi="Times New Roman" w:eastAsia="Times New Roman" w:cs="Times New Roman"/>
          <w:color w:val="2c2d2e"/>
          <w:sz w:val="24"/>
          <w:szCs w:val="24"/>
        </w:rPr>
        <w:t xml:space="preserve">;</w:t>
      </w:r>
      <w:r>
        <w:rPr>
          <w:sz w:val="24"/>
          <w:szCs w:val="24"/>
        </w:rPr>
      </w:r>
    </w:p>
    <w:p>
      <w:pPr>
        <w:ind w:left="0" w:right="54" w:firstLine="0"/>
        <w:jc w:val="both"/>
        <w:spacing w:line="240" w:lineRule="auto"/>
        <w:shd w:val="clear" w:color="ffffff" w:fill="ffffff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2c2d2e"/>
          <w:sz w:val="24"/>
          <w:szCs w:val="24"/>
          <w:highlight w:val="white"/>
        </w:rPr>
        <w:t xml:space="preserve">Муравьев Д.П. – Начальник отдела комплектации оборудования ПАО «Россети Московский регион»</w:t>
      </w:r>
      <w:r>
        <w:rPr>
          <w:rFonts w:ascii="Times New Roman" w:hAnsi="Times New Roman" w:eastAsia="Times New Roman" w:cs="Times New Roman"/>
          <w:color w:val="2c2d2e"/>
          <w:sz w:val="24"/>
          <w:szCs w:val="24"/>
        </w:rPr>
        <w:t xml:space="preserve">;</w:t>
      </w:r>
      <w:r>
        <w:rPr>
          <w:sz w:val="24"/>
          <w:szCs w:val="24"/>
        </w:rPr>
      </w:r>
    </w:p>
    <w:p>
      <w:pPr>
        <w:ind w:left="0" w:right="54" w:firstLine="0"/>
        <w:jc w:val="both"/>
        <w:spacing w:line="240" w:lineRule="auto"/>
        <w:shd w:val="clear" w:color="ffffff" w:fill="ffffff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2c2d2e"/>
          <w:sz w:val="24"/>
          <w:szCs w:val="24"/>
        </w:rPr>
        <w:t xml:space="preserve">Кремнёв А.С. – Ведущий эксперт управления общей правовой работы ПАО «Россети Московский регион».</w:t>
      </w:r>
      <w:r>
        <w:rPr>
          <w:sz w:val="24"/>
          <w:szCs w:val="24"/>
        </w:rPr>
      </w:r>
    </w:p>
    <w:p>
      <w:pPr>
        <w:ind w:left="0" w:right="54" w:firstLine="0"/>
        <w:jc w:val="both"/>
        <w:spacing w:line="240" w:lineRule="auto"/>
        <w:shd w:val="clear" w:color="ffffff" w:fill="ffffff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2c2d2e"/>
          <w:sz w:val="24"/>
          <w:szCs w:val="24"/>
        </w:rPr>
        <w:t xml:space="preserve">Секретарь Комиссии (с правом голоса):</w:t>
      </w:r>
      <w:r>
        <w:rPr>
          <w:sz w:val="24"/>
          <w:szCs w:val="24"/>
        </w:rPr>
      </w:r>
    </w:p>
    <w:p>
      <w:pPr>
        <w:ind w:left="0" w:right="54" w:firstLine="0"/>
        <w:jc w:val="both"/>
        <w:spacing w:line="240" w:lineRule="auto"/>
        <w:shd w:val="clear" w:color="ffffff" w:fill="ffffff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2c2d2e"/>
          <w:sz w:val="24"/>
          <w:szCs w:val="24"/>
        </w:rPr>
        <w:t xml:space="preserve">Гусев К.В. – Начальник управления организации конкурсных закупок ПАО «Россети Московский регион».</w:t>
      </w:r>
      <w:r>
        <w:rPr>
          <w:sz w:val="24"/>
          <w:szCs w:val="24"/>
        </w:rPr>
      </w:r>
    </w:p>
    <w:p>
      <w:pPr>
        <w:ind w:left="0" w:right="54" w:firstLine="0"/>
        <w:jc w:val="both"/>
        <w:spacing w:line="240" w:lineRule="auto"/>
        <w:shd w:val="clear" w:color="ffffff" w:fill="ffffff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 xml:space="preserve"> </w:t>
      </w:r>
      <w:r>
        <w:rPr>
          <w:sz w:val="24"/>
          <w:szCs w:val="24"/>
        </w:rPr>
      </w:r>
    </w:p>
    <w:p>
      <w:pPr>
        <w:ind w:left="0" w:right="54" w:firstLine="0"/>
        <w:jc w:val="both"/>
        <w:spacing w:line="240" w:lineRule="auto"/>
        <w:shd w:val="clear" w:color="ffffff" w:fill="ffffff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 xml:space="preserve">СЛУШАЛИ:</w:t>
      </w:r>
      <w:r>
        <w:rPr>
          <w:sz w:val="24"/>
          <w:szCs w:val="24"/>
        </w:rPr>
      </w:r>
    </w:p>
    <w:p>
      <w:pPr>
        <w:ind w:left="0" w:right="54" w:firstLine="0"/>
        <w:jc w:val="both"/>
        <w:spacing w:line="240" w:lineRule="auto"/>
        <w:shd w:val="clear" w:color="ffffff" w:fill="ffffff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Гусева К.В. –</w:t>
      </w:r>
      <w:r>
        <w:rPr>
          <w:rFonts w:ascii="Times New Roman" w:hAnsi="Times New Roman" w:eastAsia="Times New Roman" w:cs="Times New Roman"/>
          <w:color w:val="2c2d2e"/>
          <w:sz w:val="24"/>
          <w:szCs w:val="24"/>
        </w:rPr>
        <w:t xml:space="preserve"> Начальника управления организации конкурсных закупок ПАО «Россети Московский регион».</w:t>
      </w:r>
      <w:r>
        <w:rPr>
          <w:sz w:val="24"/>
          <w:szCs w:val="24"/>
        </w:rPr>
      </w:r>
    </w:p>
    <w:p>
      <w:pPr>
        <w:ind w:left="0" w:right="54" w:firstLine="0"/>
        <w:jc w:val="both"/>
        <w:spacing w:line="240" w:lineRule="auto"/>
        <w:shd w:val="clear" w:color="ffffff" w:fill="ffffff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2c2d2e"/>
          <w:sz w:val="24"/>
          <w:szCs w:val="24"/>
        </w:rPr>
        <w:t xml:space="preserve"> </w:t>
      </w:r>
      <w:r>
        <w:rPr>
          <w:sz w:val="24"/>
          <w:szCs w:val="24"/>
        </w:rPr>
      </w:r>
    </w:p>
    <w:p>
      <w:pPr>
        <w:ind w:left="0" w:right="54" w:firstLine="0"/>
        <w:jc w:val="both"/>
        <w:spacing w:line="240" w:lineRule="auto"/>
        <w:shd w:val="clear" w:color="ffffff" w:fill="ffffff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 xml:space="preserve">В заседании приняли участие 12 из 19 членов Комиссии.</w:t>
      </w:r>
      <w:r>
        <w:rPr>
          <w:sz w:val="24"/>
          <w:szCs w:val="24"/>
        </w:rPr>
      </w:r>
    </w:p>
    <w:p>
      <w:pPr>
        <w:ind w:left="0" w:right="54" w:firstLine="0"/>
        <w:spacing w:line="240" w:lineRule="auto"/>
        <w:shd w:val="clear" w:color="ffffff" w:fill="ffffff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 xml:space="preserve">Кворум имеется.</w:t>
      </w:r>
      <w:r>
        <w:rPr>
          <w:sz w:val="24"/>
          <w:szCs w:val="24"/>
        </w:rPr>
      </w:r>
    </w:p>
    <w:p>
      <w:pPr>
        <w:contextualSpacing/>
        <w:ind w:right="54"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13"/>
        <w:numPr>
          <w:ilvl w:val="0"/>
          <w:numId w:val="20"/>
        </w:numPr>
        <w:ind w:left="567" w:hanging="567"/>
        <w:keepLines w:val="0"/>
        <w:keepNext w:val="0"/>
        <w:spacing w:before="0" w:after="0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ПОСТУПИВШИЕ ЗАЯВКИ: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13"/>
        <w:numPr>
          <w:ilvl w:val="0"/>
          <w:numId w:val="0"/>
        </w:numPr>
        <w:ind w:left="567"/>
        <w:keepLines w:val="0"/>
        <w:keepNext w:val="0"/>
        <w:spacing w:before="0" w:after="0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13"/>
        <w:numPr>
          <w:ilvl w:val="0"/>
          <w:numId w:val="0"/>
        </w:numPr>
        <w:keepLines w:val="0"/>
        <w:keepNext w:val="0"/>
        <w:spacing w:before="0" w:after="0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К установленному сроку подачи Заявок поступила следующая Заявка: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tbl>
      <w:tblPr>
        <w:tblW w:w="4868" w:type="pct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580"/>
        <w:gridCol w:w="6702"/>
        <w:gridCol w:w="2642"/>
      </w:tblGrid>
      <w:tr>
        <w:trPr>
          <w:trHeight w:val="536"/>
        </w:trPr>
        <w:tc>
          <w:tcPr>
            <w:tcW w:w="58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№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bottom w:val="single" w:color="000000" w:sz="4" w:space="0"/>
            </w:tcBorders>
            <w:tcW w:w="6702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Наименование Участника, его адрес и номер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642" w:type="dxa"/>
            <w:vAlign w:val="center"/>
            <w:textDirection w:val="lrTb"/>
            <w:noWrap w:val="false"/>
          </w:tcPr>
          <w:p>
            <w:pPr>
              <w:pStyle w:val="1040"/>
              <w:contextualSpacing w:val="0"/>
              <w:ind w:left="0" w:firstLine="0"/>
              <w:jc w:val="center"/>
              <w:spacing w:line="240" w:lineRule="auto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Дата и время подачи (мск. время)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rPr>
          <w:trHeight w:val="1072"/>
        </w:trPr>
        <w:tc>
          <w:tcPr>
            <w:tcBorders>
              <w:right w:val="single" w:color="000000" w:sz="4" w:space="0"/>
            </w:tcBorders>
            <w:tcW w:w="58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02" w:type="dxa"/>
            <w:textDirection w:val="lrTb"/>
            <w:noWrap w:val="false"/>
          </w:tcPr>
          <w:p>
            <w:pPr>
              <w:pStyle w:val="1023"/>
              <w:numPr>
                <w:ilvl w:val="0"/>
                <w:numId w:val="0"/>
              </w:numPr>
              <w:ind w:left="360" w:firstLine="0"/>
              <w:jc w:val="center"/>
              <w:keepNext/>
              <w:spacing w:before="0" w:line="240" w:lineRule="auto"/>
              <w:tabs>
                <w:tab w:val="num" w:pos="993" w:leader="none"/>
                <w:tab w:val="clear" w:pos="1134" w:leader="none"/>
              </w:tabs>
              <w:rPr>
                <w:b/>
                <w:bCs/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</w:rPr>
              <w:t xml:space="preserve">ООО «ЗападЭнергоСетьСтрой»</w:t>
            </w:r>
            <w:r>
              <w:rPr>
                <w:b/>
                <w:bCs/>
                <w:sz w:val="24"/>
                <w:szCs w:val="24"/>
                <w:highlight w:val="none"/>
              </w:rPr>
            </w:r>
            <w:r>
              <w:rPr>
                <w:b/>
                <w:bCs/>
                <w:sz w:val="24"/>
                <w:szCs w:val="24"/>
                <w:highlight w:val="none"/>
              </w:rPr>
            </w:r>
          </w:p>
          <w:p>
            <w:pPr>
              <w:ind w:left="-142"/>
              <w:jc w:val="center"/>
              <w:spacing w:line="240" w:lineRule="auto"/>
              <w:tabs>
                <w:tab w:val="num" w:pos="426" w:leader="none"/>
              </w:tabs>
              <w:rPr>
                <w:sz w:val="24"/>
                <w:szCs w:val="24"/>
                <w:highlight w:val="yellow"/>
                <w14:ligatures w14:val="none"/>
              </w:rPr>
            </w:pPr>
            <w:r>
              <w:rPr>
                <w:sz w:val="24"/>
                <w:szCs w:val="24"/>
              </w:rPr>
              <w:t xml:space="preserve">(109382, ГОРОД МОСКВА, УЛ. НИЖНИЕ ПОЛЯ</w:t>
            </w:r>
            <w:r>
              <w:rPr>
                <w:b/>
                <w:sz w:val="24"/>
                <w:szCs w:val="24"/>
              </w:rPr>
              <w:t xml:space="preserve">, </w:t>
            </w:r>
            <w:r>
              <w:rPr>
                <w:bCs w:val="0"/>
                <w:sz w:val="24"/>
                <w:szCs w:val="24"/>
              </w:rPr>
              <w:t xml:space="preserve">Д. 31, СТР. 1, ЭТ 4 КОМН 35;36;39)/</w:t>
            </w:r>
            <w:r>
              <w:rPr>
                <w:b/>
                <w:sz w:val="24"/>
                <w:szCs w:val="24"/>
              </w:rPr>
              <w:t xml:space="preserve">№</w:t>
            </w:r>
            <w:hyperlink r:id="rId12" w:tooltip="https://tender.lot-online.ru/fx/gpms/ru.naumen.gpms.ui.published_jsp?uuid=corebo19718u80000pbcov8g0g9li78k" w:history="1">
              <w:r>
                <w:rPr>
                  <w:b/>
                  <w:sz w:val="24"/>
                  <w:szCs w:val="24"/>
                </w:rPr>
                <w:t xml:space="preserve">366941</w:t>
              </w:r>
            </w:hyperlink>
            <w:r>
              <w:rPr>
                <w:sz w:val="24"/>
                <w:szCs w:val="24"/>
                <w:highlight w:val="yellow"/>
                <w14:ligatures w14:val="none"/>
              </w:rPr>
            </w:r>
            <w:r>
              <w:rPr>
                <w:sz w:val="24"/>
                <w:szCs w:val="24"/>
                <w:highlight w:val="yellow"/>
                <w14:ligatures w14:val="none"/>
              </w:rPr>
            </w:r>
          </w:p>
        </w:tc>
        <w:tc>
          <w:tcPr>
            <w:tcBorders>
              <w:left w:val="single" w:color="000000" w:sz="4" w:space="0"/>
            </w:tcBorders>
            <w:tcW w:w="2642" w:type="dxa"/>
            <w:vAlign w:val="center"/>
            <w:textDirection w:val="lrTb"/>
            <w:noWrap w:val="false"/>
          </w:tcPr>
          <w:p>
            <w:pPr>
              <w:pStyle w:val="1013"/>
              <w:numPr>
                <w:ilvl w:val="0"/>
                <w:numId w:val="0"/>
              </w:numPr>
              <w:jc w:val="left"/>
              <w:keepLines w:val="0"/>
              <w:keepNext w:val="0"/>
              <w:spacing w:before="0" w:after="0"/>
              <w:widowControl w:val="off"/>
              <w:tabs>
                <w:tab w:val="left" w:pos="567" w:leader="none"/>
              </w:tabs>
              <w:rPr>
                <w:rFonts w:ascii="Times New Roman" w:hAnsi="Times New Roman"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20.03.2025 13:35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:22 </w:t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none"/>
              </w:rPr>
            </w:r>
            <w:r>
              <w:rPr>
                <w:rFonts w:ascii="Times New Roman" w:hAnsi="Times New Roman"/>
                <w:color w:val="000000"/>
                <w:sz w:val="24"/>
                <w:szCs w:val="24"/>
                <w:highlight w:val="none"/>
              </w:rPr>
            </w:r>
          </w:p>
        </w:tc>
      </w:tr>
      <w:tr>
        <w:trPr/>
        <w:tc>
          <w:tcPr>
            <w:gridSpan w:val="3"/>
            <w:tcW w:w="9924" w:type="dxa"/>
            <w:vAlign w:val="center"/>
            <w:textDirection w:val="lrTb"/>
            <w:noWrap w:val="false"/>
          </w:tcPr>
          <w:p>
            <w:pPr>
              <w:ind w:firstLine="0"/>
              <w:spacing w:line="240" w:lineRule="auto"/>
              <w:widowControl w:val="off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Всего поступила 1 Заявка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1040"/>
        <w:ind w:left="0" w:right="-23" w:firstLine="0"/>
        <w:spacing w:line="240" w:lineRule="auto"/>
        <w:widowControl w:val="off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</w:r>
      <w:r>
        <w:rPr>
          <w:b/>
          <w:color w:val="000000"/>
          <w:sz w:val="24"/>
          <w:szCs w:val="24"/>
        </w:rPr>
      </w:r>
      <w:r>
        <w:rPr>
          <w:b/>
          <w:color w:val="000000"/>
          <w:sz w:val="24"/>
          <w:szCs w:val="24"/>
        </w:rPr>
      </w:r>
    </w:p>
    <w:p>
      <w:pPr>
        <w:pStyle w:val="1013"/>
        <w:numPr>
          <w:ilvl w:val="0"/>
          <w:numId w:val="20"/>
        </w:numPr>
        <w:ind w:left="567" w:hanging="567"/>
        <w:keepLines w:val="0"/>
        <w:keepNext w:val="0"/>
        <w:spacing w:before="0" w:after="0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ВОПРОСЫ КОМИССИИ: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13"/>
        <w:numPr>
          <w:ilvl w:val="0"/>
          <w:numId w:val="0"/>
        </w:numPr>
        <w:contextualSpacing/>
        <w:keepLines w:val="0"/>
        <w:spacing w:before="0" w:after="0"/>
        <w:tabs>
          <w:tab w:val="left" w:pos="284" w:leader="none"/>
        </w:tabs>
        <w:rPr>
          <w:rFonts w:ascii="Times New Roman" w:hAnsi="Times New Roman"/>
          <w:sz w:val="24"/>
          <w:szCs w:val="24"/>
        </w:rPr>
        <w:outlineLvl w:val="2"/>
      </w:pPr>
      <w:r>
        <w:rPr>
          <w:rFonts w:ascii="Times New Roman" w:hAnsi="Times New Roman"/>
          <w:sz w:val="24"/>
          <w:szCs w:val="24"/>
        </w:rPr>
        <w:t xml:space="preserve">1. О рассмотрении индивидуальных экспертных заключений.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13"/>
        <w:numPr>
          <w:ilvl w:val="0"/>
          <w:numId w:val="0"/>
        </w:numPr>
        <w:contextualSpacing/>
        <w:keepLines w:val="0"/>
        <w:spacing w:before="0" w:after="0"/>
        <w:tabs>
          <w:tab w:val="left" w:pos="284" w:leader="none"/>
        </w:tabs>
        <w:rPr>
          <w:rFonts w:ascii="Times New Roman" w:hAnsi="Times New Roman"/>
          <w:sz w:val="24"/>
          <w:szCs w:val="24"/>
        </w:rPr>
        <w:outlineLvl w:val="2"/>
      </w:pPr>
      <w:r>
        <w:rPr>
          <w:rFonts w:ascii="Times New Roman" w:hAnsi="Times New Roman"/>
          <w:sz w:val="24"/>
          <w:szCs w:val="24"/>
        </w:rPr>
        <w:t xml:space="preserve">2. О рассмотрении второй части Заявки Участника и ценового предложения.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13"/>
        <w:numPr>
          <w:ilvl w:val="0"/>
          <w:numId w:val="0"/>
        </w:numPr>
        <w:contextualSpacing/>
        <w:keepLines w:val="0"/>
        <w:spacing w:before="0" w:after="0"/>
        <w:tabs>
          <w:tab w:val="left" w:pos="284" w:leader="none"/>
        </w:tabs>
        <w:rPr>
          <w:rFonts w:ascii="Times New Roman" w:hAnsi="Times New Roman"/>
          <w:sz w:val="24"/>
          <w:szCs w:val="24"/>
        </w:rPr>
        <w:outlineLvl w:val="2"/>
      </w:pPr>
      <w:r>
        <w:rPr>
          <w:rFonts w:ascii="Times New Roman" w:hAnsi="Times New Roman"/>
          <w:sz w:val="24"/>
          <w:szCs w:val="24"/>
        </w:rPr>
        <w:t xml:space="preserve">3. О проведении процедуры переторжки.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13"/>
        <w:numPr>
          <w:ilvl w:val="0"/>
          <w:numId w:val="0"/>
        </w:numPr>
        <w:ind w:right="54"/>
        <w:keepLines w:val="0"/>
        <w:spacing w:before="0" w:after="0"/>
        <w:tabs>
          <w:tab w:val="left" w:pos="284" w:leader="none"/>
        </w:tabs>
        <w:rPr>
          <w:rFonts w:ascii="Times New Roman" w:hAnsi="Times New Roman"/>
          <w:sz w:val="24"/>
          <w:szCs w:val="24"/>
        </w:rPr>
        <w:outlineLvl w:val="2"/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13"/>
        <w:numPr>
          <w:ilvl w:val="0"/>
          <w:numId w:val="20"/>
        </w:numPr>
        <w:ind w:left="567" w:hanging="567"/>
        <w:keepLines w:val="0"/>
        <w:keepNext w:val="0"/>
        <w:spacing w:before="0" w:after="0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РЕШИЛИ: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40"/>
        <w:numPr>
          <w:ilvl w:val="0"/>
          <w:numId w:val="50"/>
        </w:numPr>
        <w:ind w:right="54" w:hanging="720"/>
        <w:spacing w:line="240" w:lineRule="auto"/>
        <w:widowControl w:val="off"/>
        <w:tabs>
          <w:tab w:val="left" w:pos="567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  Рассмотреть индивидуальные экспертные заключения.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40"/>
        <w:numPr>
          <w:ilvl w:val="0"/>
          <w:numId w:val="50"/>
        </w:numPr>
        <w:contextualSpacing w:val="0"/>
        <w:ind w:left="0" w:right="54" w:firstLine="0"/>
        <w:spacing w:line="240" w:lineRule="auto"/>
        <w:widowControl w:val="off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 итогам рассмотрения второй части Заявки Участника и ценового предложения, индивидуальных экспертных заключений признать Заявку следующего Участника соответствующей требованиям Извещения и Документации о Закупке, допустить </w:t>
      </w:r>
      <w:r>
        <w:rPr>
          <w:sz w:val="24"/>
          <w:szCs w:val="24"/>
        </w:rPr>
        <w:br w:type="textWrapping" w:clear="all"/>
        <w:t xml:space="preserve">к дальнейшему участию и присвоить следующие значения по критериям оценки Заявок Участников: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40"/>
        <w:contextualSpacing w:val="0"/>
        <w:ind w:left="0" w:right="54" w:firstLine="0"/>
        <w:spacing w:line="240" w:lineRule="auto"/>
        <w:widowControl w:val="off"/>
        <w:tabs>
          <w:tab w:val="left" w:pos="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0048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4253"/>
        <w:gridCol w:w="2126"/>
        <w:gridCol w:w="1223"/>
        <w:gridCol w:w="1223"/>
        <w:gridCol w:w="1223"/>
      </w:tblGrid>
      <w:tr>
        <w:trPr/>
        <w:tc>
          <w:tcPr>
            <w:tcW w:w="425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tabs>
                <w:tab w:val="left" w:pos="0" w:leader="none"/>
                <w:tab w:val="left" w:pos="284" w:leader="none"/>
                <w:tab w:val="left" w:pos="567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Наименование Участника, </w:t>
            </w:r>
            <w:r>
              <w:rPr>
                <w:b/>
                <w:sz w:val="24"/>
                <w:szCs w:val="24"/>
              </w:rPr>
              <w:br w:type="textWrapping" w:clear="all"/>
              <w:t xml:space="preserve">его адрес и номер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Стоимость Заявки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122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Балл (неценов</w:t>
            </w:r>
            <w:r>
              <w:rPr>
                <w:b/>
                <w:sz w:val="24"/>
                <w:szCs w:val="24"/>
                <w:lang w:eastAsia="ar-SA"/>
              </w:rPr>
              <w:t xml:space="preserve">ой</w:t>
            </w:r>
            <w:r>
              <w:rPr>
                <w:b/>
                <w:sz w:val="24"/>
                <w:szCs w:val="24"/>
              </w:rPr>
              <w:t xml:space="preserve"> критерий)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122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ar-SA"/>
              </w:rPr>
              <w:t xml:space="preserve">Балл (ценовой критерий)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1223" w:type="dxa"/>
            <w:vAlign w:val="center"/>
            <w:textDirection w:val="lrTb"/>
            <w:noWrap w:val="false"/>
          </w:tcPr>
          <w:p>
            <w:pPr>
              <w:contextualSpacing/>
              <w:ind w:firstLine="0"/>
              <w:jc w:val="center"/>
              <w:spacing w:line="240" w:lineRule="auto"/>
              <w:widowControl w:val="off"/>
              <w:tabs>
                <w:tab w:val="left" w:pos="567" w:leader="none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Балл</w:t>
            </w:r>
            <w:r>
              <w:rPr>
                <w:b/>
                <w:sz w:val="24"/>
                <w:szCs w:val="24"/>
              </w:rPr>
              <w:br w:type="textWrapping" w:clear="all"/>
              <w:t xml:space="preserve">(итоговый рейтинг)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rPr>
          <w:trHeight w:val="1073"/>
        </w:trPr>
        <w:tc>
          <w:tcPr>
            <w:tcW w:w="4253" w:type="dxa"/>
            <w:textDirection w:val="lrTb"/>
            <w:noWrap w:val="false"/>
          </w:tcPr>
          <w:p>
            <w:pPr>
              <w:pStyle w:val="1023"/>
              <w:numPr>
                <w:ilvl w:val="0"/>
                <w:numId w:val="0"/>
              </w:numPr>
              <w:ind w:left="360" w:firstLine="0"/>
              <w:jc w:val="center"/>
              <w:keepNext/>
              <w:spacing w:before="0" w:line="240" w:lineRule="auto"/>
              <w:tabs>
                <w:tab w:val="num" w:pos="993" w:leader="none"/>
                <w:tab w:val="clear" w:pos="1134" w:leader="none"/>
              </w:tabs>
              <w:rPr>
                <w:b/>
                <w:bCs/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</w:rPr>
              <w:t xml:space="preserve">ООО «ЗападЭнергоСетьСтрой»</w:t>
            </w:r>
            <w:r>
              <w:rPr>
                <w:b/>
                <w:bCs/>
                <w:sz w:val="24"/>
                <w:szCs w:val="24"/>
                <w:highlight w:val="none"/>
              </w:rPr>
            </w:r>
            <w:r>
              <w:rPr>
                <w:b/>
                <w:bCs/>
                <w:sz w:val="24"/>
                <w:szCs w:val="24"/>
                <w:highlight w:val="none"/>
              </w:rPr>
            </w:r>
          </w:p>
          <w:p>
            <w:pPr>
              <w:ind w:left="-142"/>
              <w:jc w:val="center"/>
              <w:spacing w:line="240" w:lineRule="auto"/>
              <w:tabs>
                <w:tab w:val="num" w:pos="426" w:leader="none"/>
              </w:tabs>
              <w:rPr>
                <w:sz w:val="24"/>
                <w:szCs w:val="24"/>
                <w:highlight w:val="yellow"/>
                <w14:ligatures w14:val="none"/>
              </w:rPr>
            </w:pPr>
            <w:r>
              <w:rPr>
                <w:sz w:val="24"/>
                <w:szCs w:val="24"/>
              </w:rPr>
              <w:t xml:space="preserve">(109382, ГОРОД МОСКВА, УЛ. НИЖНИЕ ПОЛЯ</w:t>
            </w:r>
            <w:r>
              <w:rPr>
                <w:b/>
                <w:sz w:val="24"/>
                <w:szCs w:val="24"/>
              </w:rPr>
              <w:t xml:space="preserve">, </w:t>
            </w:r>
            <w:r>
              <w:rPr>
                <w:bCs w:val="0"/>
                <w:sz w:val="24"/>
                <w:szCs w:val="24"/>
              </w:rPr>
              <w:t xml:space="preserve">Д. 31, СТР. 1, ЭТ 4 КОМН 35;36;39)/</w:t>
            </w:r>
            <w:r>
              <w:rPr>
                <w:b/>
                <w:sz w:val="24"/>
                <w:szCs w:val="24"/>
              </w:rPr>
              <w:t xml:space="preserve">№</w:t>
            </w:r>
            <w:hyperlink r:id="rId13" w:tooltip="https://tender.lot-online.ru/fx/gpms/ru.naumen.gpms.ui.published_jsp?uuid=corebo19718u80000pbcov8g0g9li78k" w:history="1">
              <w:r>
                <w:rPr>
                  <w:b/>
                  <w:sz w:val="24"/>
                  <w:szCs w:val="24"/>
                </w:rPr>
                <w:t xml:space="preserve">366941</w:t>
              </w:r>
            </w:hyperlink>
            <w:r>
              <w:rPr>
                <w:sz w:val="24"/>
                <w:szCs w:val="24"/>
                <w:highlight w:val="yellow"/>
                <w14:ligatures w14:val="none"/>
              </w:rPr>
            </w:r>
            <w:r>
              <w:rPr>
                <w:sz w:val="24"/>
                <w:szCs w:val="24"/>
                <w:highlight w:val="yellow"/>
                <w14:ligatures w14:val="none"/>
              </w:rPr>
            </w:r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851"/>
              <w:ind w:firstLine="0"/>
              <w:jc w:val="center"/>
              <w:keepLines/>
              <w:keepNext/>
              <w:spacing w:line="24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none"/>
              </w:rPr>
              <w:t xml:space="preserve">107 210 800,51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W w:w="1223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no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  <w:t xml:space="preserve"> 0,08</w:t>
            </w: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</w:p>
        </w:tc>
        <w:tc>
          <w:tcPr>
            <w:tcW w:w="122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none"/>
              </w:rPr>
              <w:t xml:space="preserve">17,50</w:t>
            </w:r>
            <w:r>
              <w:rPr>
                <w:sz w:val="24"/>
                <w:szCs w:val="24"/>
                <w:highlight w:val="yellow"/>
              </w:rPr>
            </w:r>
            <w:r>
              <w:rPr>
                <w:sz w:val="24"/>
                <w:szCs w:val="24"/>
                <w:highlight w:val="yellow"/>
              </w:rPr>
            </w:r>
          </w:p>
        </w:tc>
        <w:tc>
          <w:tcPr>
            <w:tcW w:w="122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17,58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1040"/>
        <w:contextualSpacing w:val="0"/>
        <w:ind w:left="0" w:firstLine="0"/>
        <w:spacing w:line="240" w:lineRule="auto"/>
        <w:widowControl w:val="off"/>
        <w:tabs>
          <w:tab w:val="left" w:pos="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40"/>
        <w:contextualSpacing w:val="0"/>
        <w:ind w:left="0" w:firstLine="0"/>
        <w:spacing w:line="240" w:lineRule="auto"/>
        <w:widowControl w:val="off"/>
        <w:tabs>
          <w:tab w:val="left" w:pos="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 итогам рассмотрения второй части Заявки Участника и ценового предложения решили: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40"/>
        <w:contextualSpacing w:val="0"/>
        <w:ind w:left="0" w:firstLine="0"/>
        <w:spacing w:line="240" w:lineRule="auto"/>
        <w:widowControl w:val="off"/>
        <w:tabs>
          <w:tab w:val="left" w:pos="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допустить – 1 Заявку;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40"/>
        <w:contextualSpacing w:val="0"/>
        <w:ind w:left="0" w:firstLine="0"/>
        <w:spacing w:line="240" w:lineRule="auto"/>
        <w:widowControl w:val="off"/>
        <w:tabs>
          <w:tab w:val="left" w:pos="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отклонить – 0 Заявок.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54"/>
        <w:ind w:left="0" w:right="54" w:firstLine="0"/>
        <w:spacing w:line="240" w:lineRule="auto"/>
        <w:widowControl w:val="off"/>
        <w:tabs>
          <w:tab w:val="left" w:pos="993" w:leader="none"/>
          <w:tab w:val="clear" w:pos="1701" w:leader="none"/>
        </w:tabs>
        <w:rPr>
          <w:sz w:val="24"/>
          <w:szCs w:val="24"/>
        </w:rPr>
      </w:pPr>
      <w:r>
        <w:rPr>
          <w:sz w:val="24"/>
          <w:szCs w:val="24"/>
          <w:lang w:val="ru-RU"/>
        </w:rPr>
      </w:r>
      <w:r>
        <w:rPr>
          <w:sz w:val="24"/>
          <w:szCs w:val="24"/>
          <w:lang w:val="ru-RU"/>
        </w:rPr>
      </w:r>
      <w:r>
        <w:rPr>
          <w:sz w:val="24"/>
          <w:szCs w:val="24"/>
        </w:rPr>
      </w:r>
    </w:p>
    <w:p>
      <w:pPr>
        <w:pStyle w:val="1040"/>
        <w:ind w:left="0" w:right="54" w:firstLine="0"/>
        <w:spacing w:line="240" w:lineRule="auto"/>
        <w:widowControl w:val="off"/>
        <w:tabs>
          <w:tab w:val="left" w:pos="567" w:leader="none"/>
        </w:tabs>
        <w:rPr>
          <w:sz w:val="24"/>
          <w:szCs w:val="24"/>
        </w:rPr>
      </w:pPr>
      <w:r>
        <w:rPr>
          <w:b/>
          <w:sz w:val="24"/>
          <w:szCs w:val="24"/>
        </w:rPr>
        <w:t xml:space="preserve">3.</w:t>
      </w:r>
      <w:r>
        <w:rPr>
          <w:sz w:val="24"/>
          <w:szCs w:val="24"/>
        </w:rPr>
        <w:t xml:space="preserve"> Провести процедуру переторжки среди допущенных Участников закупки в сроки, указанные в п. 26 Извещения о проведении конкурса.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40"/>
        <w:ind w:left="0" w:right="54" w:firstLine="0"/>
        <w:spacing w:line="240" w:lineRule="auto"/>
        <w:widowControl w:val="off"/>
        <w:tabs>
          <w:tab w:val="left" w:pos="567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13"/>
        <w:numPr>
          <w:ilvl w:val="0"/>
          <w:numId w:val="20"/>
        </w:numPr>
        <w:ind w:left="567" w:hanging="567"/>
        <w:keepLines w:val="0"/>
        <w:keepNext w:val="0"/>
        <w:spacing w:before="0" w:after="0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РЕЗУЛЬТАТЫ ГОЛОСОВАНИЯ (в соответствии с опросными листами):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«За</w:t>
      </w:r>
      <w:r>
        <w:rPr>
          <w:sz w:val="24"/>
          <w:szCs w:val="24"/>
          <w:highlight w:val="white"/>
        </w:rPr>
        <w:t xml:space="preserve">» - </w:t>
      </w:r>
      <w:r>
        <w:rPr>
          <w:color w:val="000000"/>
          <w:sz w:val="24"/>
          <w:szCs w:val="24"/>
          <w:highlight w:val="white"/>
        </w:rPr>
        <w:t xml:space="preserve">12 (</w:t>
      </w:r>
      <w:r>
        <w:rPr>
          <w:sz w:val="24"/>
          <w:szCs w:val="24"/>
          <w:highlight w:val="white"/>
        </w:rPr>
        <w:t xml:space="preserve">двенадцать</w:t>
      </w:r>
      <w:r>
        <w:rPr>
          <w:color w:val="000000"/>
          <w:sz w:val="24"/>
          <w:szCs w:val="24"/>
          <w:highlight w:val="white"/>
        </w:rPr>
        <w:t xml:space="preserve">) </w:t>
      </w:r>
      <w:r>
        <w:rPr>
          <w:sz w:val="24"/>
          <w:szCs w:val="24"/>
          <w:highlight w:val="white"/>
        </w:rPr>
        <w:t xml:space="preserve">членов Комиссии.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  <w:highlight w:val="white"/>
        </w:rPr>
        <w:t xml:space="preserve">«Против» - </w:t>
      </w:r>
      <w:r>
        <w:rPr>
          <w:color w:val="000000"/>
          <w:sz w:val="24"/>
          <w:szCs w:val="24"/>
          <w:highlight w:val="white"/>
        </w:rPr>
        <w:t xml:space="preserve">0 (ноль) </w:t>
      </w:r>
      <w:r>
        <w:rPr>
          <w:sz w:val="24"/>
          <w:szCs w:val="24"/>
          <w:highlight w:val="white"/>
        </w:rPr>
        <w:t xml:space="preserve">чл</w:t>
      </w:r>
      <w:r>
        <w:rPr>
          <w:sz w:val="24"/>
          <w:szCs w:val="24"/>
          <w:highlight w:val="white"/>
        </w:rPr>
        <w:t xml:space="preserve">енов</w:t>
      </w:r>
      <w:r>
        <w:rPr>
          <w:sz w:val="24"/>
          <w:szCs w:val="24"/>
        </w:rPr>
        <w:t xml:space="preserve"> Комиссии.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«Воздержалось» - </w:t>
      </w:r>
      <w:r>
        <w:rPr>
          <w:color w:val="000000"/>
          <w:sz w:val="24"/>
          <w:szCs w:val="24"/>
        </w:rPr>
        <w:t xml:space="preserve">0 (ноль) </w:t>
      </w:r>
      <w:r>
        <w:rPr>
          <w:sz w:val="24"/>
          <w:szCs w:val="24"/>
        </w:rPr>
        <w:t xml:space="preserve">членов Комиссии.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Решение принято единогласно.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13"/>
        <w:numPr>
          <w:ilvl w:val="0"/>
          <w:numId w:val="20"/>
        </w:numPr>
        <w:ind w:left="567" w:hanging="567"/>
        <w:keepLines w:val="0"/>
        <w:keepNext w:val="0"/>
        <w:spacing w:before="0" w:after="0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ПОДПИСИ: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tbl>
      <w:tblPr>
        <w:tblpPr w:horzAnchor="margin" w:tblpX="108" w:vertAnchor="text" w:tblpY="73" w:leftFromText="180" w:topFromText="0" w:rightFromText="180" w:bottomFromText="0"/>
        <w:tblW w:w="1001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2179"/>
        <w:gridCol w:w="1898"/>
        <w:gridCol w:w="2071"/>
        <w:gridCol w:w="3865"/>
      </w:tblGrid>
      <w:tr>
        <w:trPr>
          <w:trHeight w:val="1154"/>
        </w:trPr>
        <w:tc>
          <w:tcPr>
            <w:tcW w:w="21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Заместитель Председателя Комиссии: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89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07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Старостина Я.О.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865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 xml:space="preserve">Директор департамента организации конкурсных процедур ПАО «Россети Московский регион»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  <w:tr>
        <w:trPr>
          <w:trHeight w:val="1154"/>
        </w:trPr>
        <w:tc>
          <w:tcPr>
            <w:tcW w:w="21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Секретарь Комиссии </w:t>
            </w:r>
            <w:r>
              <w:rPr>
                <w:sz w:val="24"/>
                <w:szCs w:val="24"/>
              </w:rPr>
              <w:br w:type="textWrapping" w:clear="all"/>
              <w:t xml:space="preserve">(</w:t>
            </w:r>
            <w:r>
              <w:rPr>
                <w:bCs/>
                <w:sz w:val="24"/>
                <w:szCs w:val="24"/>
              </w:rPr>
              <w:t xml:space="preserve">с правом </w:t>
            </w:r>
            <w:r>
              <w:rPr>
                <w:sz w:val="24"/>
                <w:szCs w:val="24"/>
              </w:rPr>
              <w:t xml:space="preserve">голоса):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1898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07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Гусев К.В.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3865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Начальник управления </w:t>
            </w:r>
            <w:r>
              <w:rPr>
                <w:bCs/>
                <w:sz w:val="24"/>
                <w:szCs w:val="24"/>
              </w:rPr>
              <w:br w:type="textWrapping" w:clear="all"/>
              <w:t xml:space="preserve">организации конкурсных закупок </w:t>
            </w:r>
            <w:r>
              <w:rPr>
                <w:bCs/>
                <w:sz w:val="24"/>
                <w:szCs w:val="24"/>
              </w:rPr>
              <w:br w:type="textWrapping" w:clear="all"/>
              <w:t xml:space="preserve">ПАО «Россети Московский регион»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</w:tbl>
    <w:p>
      <w:pPr>
        <w:ind w:firstLine="0"/>
        <w:spacing w:line="240" w:lineRule="auto"/>
        <w:widowControl w:val="off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ind w:firstLine="0"/>
        <w:spacing w:line="240" w:lineRule="auto"/>
        <w:widowControl w:val="off"/>
        <w:rPr>
          <w:i/>
          <w:iCs/>
          <w:sz w:val="20"/>
        </w:rPr>
      </w:pPr>
      <w:r>
        <w:rPr>
          <w:i/>
          <w:iCs/>
          <w:sz w:val="20"/>
        </w:rPr>
        <w:t xml:space="preserve">Сачко Е.П. Тел. +7 (495) 662-40-70 (42-66)</w:t>
      </w:r>
      <w:r>
        <w:rPr>
          <w:i/>
          <w:iCs/>
          <w:sz w:val="20"/>
        </w:rPr>
      </w:r>
      <w:r>
        <w:rPr>
          <w:i/>
          <w:iCs/>
          <w:sz w:val="20"/>
        </w:rPr>
      </w:r>
    </w:p>
    <w:sectPr>
      <w:footerReference w:type="default" r:id="rId9"/>
      <w:footerReference w:type="even" r:id="rId10"/>
      <w:footnotePr/>
      <w:endnotePr/>
      <w:type w:val="nextPage"/>
      <w:pgSz w:w="11906" w:h="16838" w:orient="portrait"/>
      <w:pgMar w:top="448" w:right="849" w:bottom="1276" w:left="1080" w:header="708" w:footer="0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="240" w:lineRule="auto"/>
      </w:pPr>
      <w:r>
        <w:separator/>
      </w:r>
      <w:r/>
    </w:p>
  </w:endnote>
  <w:endnote w:type="continuationSeparator" w:id="0">
    <w:p>
      <w:pPr>
        <w:spacing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</w:font>
  <w:font w:name="Tahoma">
    <w:panose1 w:val="020B0604030504040204"/>
  </w:font>
  <w:font w:name="Times New Roman">
    <w:panose1 w:val="02020603050405020304"/>
  </w:font>
  <w:font w:name="Calibri">
    <w:panose1 w:val="020F0502020204030204"/>
  </w:font>
  <w:font w:name="Arial Unicode MS">
    <w:panose1 w:val="020B060402020202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61"/>
      <w:rPr>
        <w:sz w:val="16"/>
      </w:rPr>
      <w:framePr w:wrap="around" w:vAnchor="text" w:hAnchor="page" w:x="10891" w:y="45"/>
    </w:pPr>
    <w:r>
      <w:rPr>
        <w:sz w:val="16"/>
      </w:rPr>
      <w:fldChar w:fldCharType="begin"/>
    </w:r>
    <w:r>
      <w:rPr>
        <w:sz w:val="16"/>
      </w:rPr>
      <w:instrText xml:space="preserve">PAGE  </w:instrText>
    </w:r>
    <w:r>
      <w:rPr>
        <w:sz w:val="16"/>
      </w:rPr>
      <w:fldChar w:fldCharType="separate"/>
    </w:r>
    <w:r>
      <w:rPr>
        <w:sz w:val="16"/>
      </w:rPr>
      <w:t xml:space="preserve">2</w:t>
    </w:r>
    <w:r>
      <w:rPr>
        <w:sz w:val="16"/>
      </w:rPr>
      <w:fldChar w:fldCharType="end"/>
    </w:r>
    <w:r>
      <w:rPr>
        <w:sz w:val="16"/>
      </w:rPr>
    </w:r>
    <w:r>
      <w:rPr>
        <w:sz w:val="16"/>
      </w:rPr>
    </w:r>
  </w:p>
  <w:p>
    <w:pPr>
      <w:pStyle w:val="1013"/>
      <w:numPr>
        <w:ilvl w:val="0"/>
        <w:numId w:val="0"/>
      </w:numPr>
      <w:ind w:right="54"/>
      <w:jc w:val="center"/>
      <w:keepLines w:val="0"/>
      <w:keepNext w:val="0"/>
      <w:spacing w:before="0" w:after="0"/>
      <w:widowControl w:val="off"/>
      <w:rPr>
        <w:rFonts w:ascii="Times New Roman" w:hAnsi="Times New Roman"/>
        <w:sz w:val="24"/>
        <w:szCs w:val="24"/>
        <w:highlight w:val="white"/>
      </w:rPr>
    </w:pPr>
    <w:r>
      <w:rPr>
        <w:rFonts w:ascii="Times New Roman" w:hAnsi="Times New Roman"/>
        <w:b w:val="0"/>
        <w:bCs w:val="0"/>
        <w:sz w:val="18"/>
        <w:szCs w:val="18"/>
      </w:rPr>
      <w:t xml:space="preserve">Протокол №</w:t>
    </w:r>
    <w:r>
      <w:rPr>
        <w:rFonts w:ascii="Times New Roman" w:hAnsi="Times New Roman"/>
        <w:b w:val="0"/>
        <w:bCs w:val="0"/>
        <w:sz w:val="18"/>
        <w:szCs w:val="18"/>
        <w:highlight w:val="white"/>
      </w:rPr>
      <w:t xml:space="preserve">РМР/</w:t>
    </w:r>
    <w:r>
      <w:rPr>
        <w:rFonts w:ascii="Times New Roman" w:hAnsi="Times New Roman"/>
        <w:b w:val="0"/>
        <w:bCs w:val="0"/>
        <w:sz w:val="18"/>
        <w:szCs w:val="18"/>
        <w:highlight w:val="none"/>
      </w:rPr>
      <w:t xml:space="preserve">1414</w:t>
    </w:r>
    <w:r>
      <w:rPr>
        <w:rFonts w:ascii="Times New Roman" w:hAnsi="Times New Roman"/>
        <w:sz w:val="24"/>
        <w:szCs w:val="24"/>
        <w:highlight w:val="white"/>
      </w:rPr>
    </w:r>
    <w:r>
      <w:rPr>
        <w:rFonts w:ascii="Times New Roman" w:hAnsi="Times New Roman"/>
        <w:sz w:val="24"/>
        <w:szCs w:val="24"/>
        <w:highlight w:val="white"/>
      </w:rPr>
    </w:r>
  </w:p>
  <w:p>
    <w:pPr>
      <w:ind w:right="54" w:firstLine="0"/>
      <w:jc w:val="center"/>
      <w:spacing w:line="240" w:lineRule="auto"/>
      <w:widowControl w:val="off"/>
      <w:rPr>
        <w:b/>
        <w:bCs/>
        <w:sz w:val="24"/>
        <w:szCs w:val="24"/>
      </w:rPr>
    </w:pPr>
    <w:r>
      <w:rPr>
        <w:b w:val="0"/>
        <w:bCs w:val="0"/>
        <w:sz w:val="18"/>
        <w:szCs w:val="18"/>
      </w:rPr>
      <w:t xml:space="preserve">очного заседания Постоянно действующей конкурсной комиссии </w:t>
    </w:r>
    <w:r>
      <w:rPr>
        <w:b w:val="0"/>
        <w:bCs w:val="0"/>
        <w:sz w:val="18"/>
        <w:szCs w:val="18"/>
      </w:rPr>
      <w:t xml:space="preserve">по рассмотрению и оценке вторых частей Заявок </w:t>
    </w:r>
    <w:r>
      <w:rPr>
        <w:b w:val="0"/>
        <w:bCs w:val="0"/>
        <w:sz w:val="18"/>
        <w:szCs w:val="18"/>
      </w:rPr>
      <w:t xml:space="preserve">и ценовых предложений Участников </w:t>
    </w:r>
    <w:r>
      <w:rPr>
        <w:b w:val="0"/>
        <w:bCs w:val="0"/>
        <w:sz w:val="18"/>
        <w:szCs w:val="18"/>
      </w:rPr>
      <w:t xml:space="preserve">(Р</w:t>
    </w:r>
    <w:r>
      <w:rPr>
        <w:b w:val="0"/>
        <w:bCs w:val="0"/>
        <w:sz w:val="18"/>
        <w:szCs w:val="18"/>
      </w:rPr>
      <w:t xml:space="preserve">АД № </w:t>
    </w:r>
    <w:r>
      <w:rPr>
        <w:b w:val="0"/>
        <w:bCs w:val="0"/>
        <w:sz w:val="18"/>
        <w:szCs w:val="18"/>
      </w:rPr>
      <w:t xml:space="preserve">rssmr25298MC</w:t>
    </w:r>
    <w:r>
      <w:rPr>
        <w:b w:val="0"/>
        <w:bCs w:val="0"/>
        <w:sz w:val="18"/>
        <w:szCs w:val="18"/>
      </w:rPr>
      <w:t xml:space="preserve"> </w:t>
    </w:r>
    <w:r>
      <w:rPr>
        <w:b w:val="0"/>
        <w:bCs w:val="0"/>
        <w:sz w:val="18"/>
        <w:szCs w:val="18"/>
      </w:rPr>
      <w:t xml:space="preserve">/ ЕИС</w:t>
    </w:r>
    <w:r>
      <w:rPr>
        <w:b w:val="0"/>
        <w:bCs w:val="0"/>
        <w:sz w:val="18"/>
        <w:szCs w:val="18"/>
      </w:rPr>
      <w:t xml:space="preserve">32514586985</w:t>
    </w:r>
    <w:r>
      <w:rPr>
        <w:b w:val="0"/>
        <w:bCs w:val="0"/>
        <w:sz w:val="18"/>
        <w:szCs w:val="18"/>
      </w:rPr>
      <w:t xml:space="preserve">).</w:t>
    </w:r>
    <w:r>
      <w:rPr>
        <w:b/>
        <w:bCs/>
        <w:sz w:val="24"/>
        <w:szCs w:val="24"/>
      </w:rPr>
    </w:r>
    <w:r>
      <w:rPr>
        <w:b/>
        <w:bCs/>
        <w:sz w:val="24"/>
        <w:szCs w:val="24"/>
      </w:rPr>
    </w:r>
  </w:p>
  <w:p>
    <w:pPr>
      <w:ind w:right="54" w:firstLine="0"/>
      <w:jc w:val="center"/>
      <w:spacing w:line="240" w:lineRule="auto"/>
      <w:widowControl w:val="off"/>
      <w:rPr>
        <w:sz w:val="18"/>
        <w:szCs w:val="18"/>
      </w:rPr>
    </w:pPr>
    <w:r>
      <w:rPr>
        <w:sz w:val="18"/>
        <w:szCs w:val="18"/>
      </w:rPr>
    </w:r>
    <w:r>
      <w:rPr>
        <w:sz w:val="18"/>
        <w:szCs w:val="18"/>
      </w:rPr>
    </w:r>
    <w:r>
      <w:rPr>
        <w:sz w:val="18"/>
        <w:szCs w:val="18"/>
      </w:rPr>
    </w:r>
  </w:p>
  <w:p>
    <w:pPr>
      <w:pStyle w:val="1013"/>
      <w:numPr>
        <w:ilvl w:val="0"/>
        <w:numId w:val="0"/>
      </w:numPr>
      <w:ind w:right="54"/>
      <w:jc w:val="center"/>
      <w:keepLines w:val="0"/>
      <w:keepNext w:val="0"/>
      <w:spacing w:before="0" w:after="0"/>
      <w:widowControl w:val="off"/>
      <w:rPr>
        <w:rFonts w:ascii="Times New Roman" w:hAnsi="Times New Roman"/>
        <w:b w:val="0"/>
        <w:bCs w:val="0"/>
        <w:sz w:val="18"/>
        <w:szCs w:val="18"/>
      </w:rPr>
    </w:pPr>
    <w:r>
      <w:rPr>
        <w:rFonts w:ascii="Times New Roman" w:hAnsi="Times New Roman"/>
        <w:b w:val="0"/>
        <w:bCs w:val="0"/>
        <w:sz w:val="18"/>
        <w:szCs w:val="18"/>
      </w:rPr>
    </w:r>
    <w:r>
      <w:rPr>
        <w:rFonts w:ascii="Times New Roman" w:hAnsi="Times New Roman"/>
        <w:b w:val="0"/>
        <w:bCs w:val="0"/>
        <w:sz w:val="18"/>
        <w:szCs w:val="18"/>
      </w:rPr>
    </w:r>
    <w:r>
      <w:rPr>
        <w:rFonts w:ascii="Times New Roman" w:hAnsi="Times New Roman"/>
        <w:b w:val="0"/>
        <w:bCs w:val="0"/>
        <w:sz w:val="18"/>
        <w:szCs w:val="18"/>
      </w:rPr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61"/>
      <w:rPr>
        <w:rStyle w:val="1015"/>
      </w:rPr>
      <w:framePr w:wrap="around" w:vAnchor="text" w:hAnchor="margin" w:xAlign="right" w:y="1"/>
    </w:pPr>
    <w:r>
      <w:rPr>
        <w:rStyle w:val="1015"/>
      </w:rPr>
      <w:fldChar w:fldCharType="begin"/>
    </w:r>
    <w:r>
      <w:rPr>
        <w:rStyle w:val="1015"/>
      </w:rPr>
      <w:instrText xml:space="preserve">PAGE  </w:instrText>
    </w:r>
    <w:r>
      <w:rPr>
        <w:rStyle w:val="1015"/>
      </w:rPr>
      <w:fldChar w:fldCharType="end"/>
    </w:r>
    <w:r>
      <w:rPr>
        <w:rStyle w:val="1015"/>
      </w:rPr>
    </w:r>
    <w:r>
      <w:rPr>
        <w:rStyle w:val="1015"/>
      </w:rPr>
    </w:r>
  </w:p>
  <w:p>
    <w:pPr>
      <w:pStyle w:val="861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="240" w:lineRule="auto"/>
      </w:pPr>
      <w:r>
        <w:separator/>
      </w:r>
      <w:r/>
    </w:p>
  </w:footnote>
  <w:footnote w:type="continuationSeparator" w:id="0">
    <w:p>
      <w:pPr>
        <w:spacing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05" w:hanging="360"/>
        <w:tabs>
          <w:tab w:val="num" w:pos="405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125" w:hanging="360"/>
        <w:tabs>
          <w:tab w:val="num" w:pos="1125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845" w:hanging="180"/>
        <w:tabs>
          <w:tab w:val="num" w:pos="1845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65" w:hanging="360"/>
        <w:tabs>
          <w:tab w:val="num" w:pos="2565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285" w:hanging="360"/>
        <w:tabs>
          <w:tab w:val="num" w:pos="3285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005" w:hanging="180"/>
        <w:tabs>
          <w:tab w:val="num" w:pos="4005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725" w:hanging="360"/>
        <w:tabs>
          <w:tab w:val="num" w:pos="4725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45" w:hanging="360"/>
        <w:tabs>
          <w:tab w:val="num" w:pos="5445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65" w:hanging="180"/>
        <w:tabs>
          <w:tab w:val="num" w:pos="6165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2138" w:hanging="72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567"/>
        <w:tabs>
          <w:tab w:val="num" w:pos="1134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2126" w:hanging="708"/>
        <w:tabs>
          <w:tab w:val="num" w:pos="708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2835" w:hanging="708"/>
        <w:tabs>
          <w:tab w:val="num" w:pos="2835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540" w:hanging="708"/>
        <w:tabs>
          <w:tab w:val="num" w:pos="708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4248" w:hanging="708"/>
        <w:tabs>
          <w:tab w:val="num" w:pos="708" w:leader="none"/>
        </w:tabs>
      </w:pPr>
    </w:lvl>
    <w:lvl w:ilvl="5">
      <w:start w:val="1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664" w:hanging="708"/>
        <w:tabs>
          <w:tab w:val="num" w:pos="708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372" w:hanging="708"/>
        <w:tabs>
          <w:tab w:val="num" w:pos="708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080" w:hanging="708"/>
        <w:tabs>
          <w:tab w:val="num" w:pos="708" w:leader="none"/>
        </w:tabs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17" w:hanging="360"/>
        <w:tabs>
          <w:tab w:val="num" w:pos="417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137" w:hanging="360"/>
        <w:tabs>
          <w:tab w:val="num" w:pos="1137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857" w:hanging="180"/>
        <w:tabs>
          <w:tab w:val="num" w:pos="1857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77" w:hanging="360"/>
        <w:tabs>
          <w:tab w:val="num" w:pos="2577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297" w:hanging="360"/>
        <w:tabs>
          <w:tab w:val="num" w:pos="3297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017" w:hanging="180"/>
        <w:tabs>
          <w:tab w:val="num" w:pos="4017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737" w:hanging="360"/>
        <w:tabs>
          <w:tab w:val="num" w:pos="4737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57" w:hanging="360"/>
        <w:tabs>
          <w:tab w:val="num" w:pos="5457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77" w:hanging="180"/>
        <w:tabs>
          <w:tab w:val="num" w:pos="6177" w:leader="none"/>
        </w:tabs>
      </w:pPr>
    </w:lvl>
  </w:abstractNum>
  <w:abstractNum w:abstractNumId="7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720" w:hanging="360"/>
      </w:pPr>
      <w:rPr>
        <w:rFonts w:ascii="Times New Roman" w:hAnsi="Times New Roman" w:cs="Times New Roman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02" w:hanging="360"/>
      </w:pPr>
      <w:rPr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8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1800"/>
      </w:pPr>
    </w:lvl>
  </w:abstractNum>
  <w:abstractNum w:abstractNumId="8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50" w:hanging="39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decimal"/>
      <w:pStyle w:val="1023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360"/>
        <w:tabs>
          <w:tab w:val="num" w:pos="54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260" w:hanging="360"/>
        <w:tabs>
          <w:tab w:val="num" w:pos="126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980" w:hanging="180"/>
        <w:tabs>
          <w:tab w:val="num" w:pos="198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700" w:hanging="360"/>
        <w:tabs>
          <w:tab w:val="num" w:pos="270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420" w:hanging="360"/>
        <w:tabs>
          <w:tab w:val="num" w:pos="342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140" w:hanging="180"/>
        <w:tabs>
          <w:tab w:val="num" w:pos="414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860" w:hanging="360"/>
        <w:tabs>
          <w:tab w:val="num" w:pos="486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580" w:hanging="360"/>
        <w:tabs>
          <w:tab w:val="num" w:pos="558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300" w:hanging="180"/>
        <w:tabs>
          <w:tab w:val="num" w:pos="6300" w:leader="none"/>
        </w:tabs>
      </w:pPr>
    </w:lvl>
  </w:abstractNum>
  <w:abstractNum w:abstractNumId="12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4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465" w:hanging="360"/>
        <w:tabs>
          <w:tab w:val="num" w:pos="465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185" w:hanging="360"/>
        <w:tabs>
          <w:tab w:val="num" w:pos="1185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905" w:hanging="180"/>
        <w:tabs>
          <w:tab w:val="num" w:pos="1905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625" w:hanging="360"/>
        <w:tabs>
          <w:tab w:val="num" w:pos="2625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345" w:hanging="360"/>
        <w:tabs>
          <w:tab w:val="num" w:pos="3345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065" w:hanging="180"/>
        <w:tabs>
          <w:tab w:val="num" w:pos="4065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785" w:hanging="360"/>
        <w:tabs>
          <w:tab w:val="num" w:pos="4785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505" w:hanging="360"/>
        <w:tabs>
          <w:tab w:val="num" w:pos="5505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225" w:hanging="180"/>
        <w:tabs>
          <w:tab w:val="num" w:pos="6225" w:leader="none"/>
        </w:tabs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6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720" w:hanging="360"/>
      </w:pPr>
      <w:rPr>
        <w:b/>
        <w:color w:val="00000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502" w:hanging="360"/>
      </w:pPr>
      <w:rPr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8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1800"/>
      </w:pPr>
    </w:lvl>
  </w:abstractNum>
  <w:abstractNum w:abstractNumId="18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108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sz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927" w:hanging="360"/>
        <w:tabs>
          <w:tab w:val="num" w:pos="927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  <w:tabs>
          <w:tab w:val="num" w:pos="1647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  <w:tabs>
          <w:tab w:val="num" w:pos="2367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  <w:tabs>
          <w:tab w:val="num" w:pos="3087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  <w:tabs>
          <w:tab w:val="num" w:pos="3807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  <w:tabs>
          <w:tab w:val="num" w:pos="4527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  <w:tabs>
          <w:tab w:val="num" w:pos="5247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  <w:tabs>
          <w:tab w:val="num" w:pos="5967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  <w:tabs>
          <w:tab w:val="num" w:pos="6687" w:leader="none"/>
        </w:tabs>
      </w:pPr>
    </w:lvl>
  </w:abstractNum>
  <w:abstractNum w:abstractNumId="23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465" w:hanging="360"/>
        <w:tabs>
          <w:tab w:val="num" w:pos="465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185" w:hanging="360"/>
        <w:tabs>
          <w:tab w:val="num" w:pos="1185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905" w:hanging="180"/>
        <w:tabs>
          <w:tab w:val="num" w:pos="1905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625" w:hanging="360"/>
        <w:tabs>
          <w:tab w:val="num" w:pos="2625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345" w:hanging="360"/>
        <w:tabs>
          <w:tab w:val="num" w:pos="3345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065" w:hanging="180"/>
        <w:tabs>
          <w:tab w:val="num" w:pos="4065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785" w:hanging="360"/>
        <w:tabs>
          <w:tab w:val="num" w:pos="4785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505" w:hanging="360"/>
        <w:tabs>
          <w:tab w:val="num" w:pos="5505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225" w:hanging="180"/>
        <w:tabs>
          <w:tab w:val="num" w:pos="6225" w:leader="none"/>
        </w:tabs>
      </w:pPr>
    </w:lvl>
  </w:abstractNum>
  <w:abstractNum w:abstractNumId="24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405" w:hanging="360"/>
        <w:tabs>
          <w:tab w:val="num" w:pos="405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125" w:hanging="360"/>
        <w:tabs>
          <w:tab w:val="num" w:pos="1125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845" w:hanging="180"/>
        <w:tabs>
          <w:tab w:val="num" w:pos="1845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65" w:hanging="360"/>
        <w:tabs>
          <w:tab w:val="num" w:pos="2565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285" w:hanging="360"/>
        <w:tabs>
          <w:tab w:val="num" w:pos="3285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005" w:hanging="180"/>
        <w:tabs>
          <w:tab w:val="num" w:pos="4005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725" w:hanging="360"/>
        <w:tabs>
          <w:tab w:val="num" w:pos="4725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45" w:hanging="360"/>
        <w:tabs>
          <w:tab w:val="num" w:pos="5445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65" w:hanging="180"/>
        <w:tabs>
          <w:tab w:val="num" w:pos="6165" w:leader="none"/>
        </w:tabs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  <w:tabs>
          <w:tab w:val="num" w:pos="18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  <w:tabs>
          <w:tab w:val="num" w:pos="25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  <w:tabs>
          <w:tab w:val="num" w:pos="32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  <w:tabs>
          <w:tab w:val="num" w:pos="39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  <w:tabs>
          <w:tab w:val="num" w:pos="46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  <w:tabs>
          <w:tab w:val="num" w:pos="54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  <w:tabs>
          <w:tab w:val="num" w:pos="6120" w:leader="none"/>
        </w:tabs>
      </w:pPr>
    </w:lvl>
  </w:abstractNum>
  <w:abstractNum w:abstractNumId="27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8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927" w:hanging="360"/>
        <w:tabs>
          <w:tab w:val="num" w:pos="927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  <w:tabs>
          <w:tab w:val="num" w:pos="1647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  <w:tabs>
          <w:tab w:val="num" w:pos="2367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  <w:tabs>
          <w:tab w:val="num" w:pos="3087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  <w:tabs>
          <w:tab w:val="num" w:pos="3807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  <w:tabs>
          <w:tab w:val="num" w:pos="4527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  <w:tabs>
          <w:tab w:val="num" w:pos="5247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  <w:tabs>
          <w:tab w:val="num" w:pos="5967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  <w:tabs>
          <w:tab w:val="num" w:pos="6687" w:leader="none"/>
        </w:tabs>
      </w:p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05" w:hanging="360"/>
        <w:tabs>
          <w:tab w:val="num" w:pos="405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125" w:hanging="360"/>
        <w:tabs>
          <w:tab w:val="num" w:pos="1125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845" w:hanging="180"/>
        <w:tabs>
          <w:tab w:val="num" w:pos="1845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65" w:hanging="360"/>
        <w:tabs>
          <w:tab w:val="num" w:pos="2565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285" w:hanging="360"/>
        <w:tabs>
          <w:tab w:val="num" w:pos="3285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005" w:hanging="180"/>
        <w:tabs>
          <w:tab w:val="num" w:pos="4005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725" w:hanging="360"/>
        <w:tabs>
          <w:tab w:val="num" w:pos="4725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45" w:hanging="360"/>
        <w:tabs>
          <w:tab w:val="num" w:pos="5445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65" w:hanging="180"/>
        <w:tabs>
          <w:tab w:val="num" w:pos="6165" w:leader="none"/>
        </w:tabs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sz w:val="2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80" w:hanging="720"/>
      </w:pPr>
      <w:rPr>
        <w:sz w:val="2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720"/>
      </w:pPr>
      <w:rPr>
        <w:sz w:val="2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  <w:rPr>
        <w:sz w:val="2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080"/>
      </w:pPr>
      <w:rPr>
        <w:sz w:val="20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</w:pPr>
      <w:rPr>
        <w:sz w:val="20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440"/>
      </w:pPr>
      <w:rPr>
        <w:sz w:val="20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1800"/>
      </w:pPr>
      <w:rPr>
        <w:sz w:val="20"/>
      </w:rPr>
    </w:lvl>
  </w:abstractNum>
  <w:abstractNum w:abstractNumId="31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134" w:hanging="567"/>
        <w:tabs>
          <w:tab w:val="num" w:pos="1134" w:leader="none"/>
        </w:tabs>
      </w:pPr>
    </w:lvl>
    <w:lvl w:ilvl="1">
      <w:start w:val="1"/>
      <w:numFmt w:val="upperRoman"/>
      <w:isLgl w:val="false"/>
      <w:suff w:val="tab"/>
      <w:lvlText w:val="%2."/>
      <w:lvlJc w:val="left"/>
      <w:pPr>
        <w:ind w:left="1134" w:hanging="567"/>
        <w:tabs>
          <w:tab w:val="num" w:pos="1134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00" w:hanging="540"/>
      </w:pPr>
      <w:rPr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567"/>
        <w:tabs>
          <w:tab w:val="num" w:pos="1134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2126" w:hanging="708"/>
        <w:tabs>
          <w:tab w:val="num" w:pos="708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2835" w:hanging="708"/>
        <w:tabs>
          <w:tab w:val="num" w:pos="2835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540" w:hanging="708"/>
        <w:tabs>
          <w:tab w:val="num" w:pos="708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4248" w:hanging="708"/>
        <w:tabs>
          <w:tab w:val="num" w:pos="708" w:leader="none"/>
        </w:tabs>
      </w:pPr>
    </w:lvl>
    <w:lvl w:ilvl="5">
      <w:start w:val="1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664" w:hanging="708"/>
        <w:tabs>
          <w:tab w:val="num" w:pos="708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372" w:hanging="708"/>
        <w:tabs>
          <w:tab w:val="num" w:pos="708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080" w:hanging="708"/>
        <w:tabs>
          <w:tab w:val="num" w:pos="708" w:leader="none"/>
        </w:tabs>
      </w:pPr>
    </w:lvl>
  </w:abstractNum>
  <w:abstractNum w:abstractNumId="36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02" w:hanging="360"/>
      </w:pPr>
      <w:rPr>
        <w:b/>
        <w:sz w:val="24"/>
        <w:szCs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22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94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66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38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10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82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54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262" w:hanging="180"/>
      </w:p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8">
    <w:multiLevelType w:val="hybridMultilevel"/>
    <w:lvl w:ilvl="0">
      <w:start w:val="1"/>
      <w:numFmt w:val="decimal"/>
      <w:pStyle w:val="1013"/>
      <w:isLgl w:val="false"/>
      <w:suff w:val="tab"/>
      <w:lvlText w:val="%1."/>
      <w:lvlJc w:val="left"/>
      <w:pPr>
        <w:ind w:left="567" w:hanging="567"/>
        <w:tabs>
          <w:tab w:val="num" w:pos="567" w:leader="none"/>
        </w:tabs>
      </w:pPr>
    </w:lvl>
    <w:lvl w:ilvl="1">
      <w:start w:val="1"/>
      <w:numFmt w:val="decimal"/>
      <w:isLgl w:val="false"/>
      <w:suff w:val="tab"/>
      <w:lvlText w:val="%1.%2"/>
      <w:lvlJc w:val="left"/>
      <w:pPr>
        <w:ind w:left="567" w:hanging="567"/>
        <w:tabs>
          <w:tab w:val="num" w:pos="567" w:leader="none"/>
        </w:tabs>
      </w:pPr>
    </w:lvl>
    <w:lvl w:ilvl="2">
      <w:start w:val="1"/>
      <w:numFmt w:val="decimal"/>
      <w:pStyle w:val="1010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</w:lvl>
    <w:lvl w:ilvl="3">
      <w:start w:val="1"/>
      <w:numFmt w:val="decimal"/>
      <w:pStyle w:val="1011"/>
      <w:isLgl w:val="false"/>
      <w:suff w:val="tab"/>
      <w:lvlText w:val="%1.%2.%3.%4"/>
      <w:lvlJc w:val="left"/>
      <w:pPr>
        <w:ind w:left="1701" w:hanging="1134"/>
        <w:tabs>
          <w:tab w:val="num" w:pos="1701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</w:lvl>
  </w:abstractNum>
  <w:num w:numId="1">
    <w:abstractNumId w:val="38"/>
  </w:num>
  <w:num w:numId="2">
    <w:abstractNumId w:val="35"/>
  </w:num>
  <w:num w:numId="3">
    <w:abstractNumId w:val="5"/>
  </w:num>
  <w:num w:numId="4">
    <w:abstractNumId w:val="31"/>
  </w:num>
  <w:num w:numId="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8"/>
  </w:num>
  <w:num w:numId="9">
    <w:abstractNumId w:val="11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9"/>
  </w:num>
  <w:num w:numId="12">
    <w:abstractNumId w:val="24"/>
  </w:num>
  <w:num w:numId="13">
    <w:abstractNumId w:val="0"/>
  </w:num>
  <w:num w:numId="14">
    <w:abstractNumId w:val="6"/>
  </w:num>
  <w:num w:numId="15">
    <w:abstractNumId w:val="23"/>
  </w:num>
  <w:num w:numId="16">
    <w:abstractNumId w:val="14"/>
  </w:num>
  <w:num w:numId="17">
    <w:abstractNumId w:val="26"/>
  </w:num>
  <w:num w:numId="18">
    <w:abstractNumId w:val="22"/>
  </w:num>
  <w:num w:numId="19">
    <w:abstractNumId w:val="12"/>
  </w:num>
  <w:num w:numId="20">
    <w:abstractNumId w:val="3"/>
  </w:num>
  <w:num w:numId="21">
    <w:abstractNumId w:val="38"/>
  </w:num>
  <w:num w:numId="22">
    <w:abstractNumId w:val="38"/>
  </w:num>
  <w:num w:numId="23">
    <w:abstractNumId w:val="38"/>
  </w:num>
  <w:num w:numId="24">
    <w:abstractNumId w:val="38"/>
  </w:num>
  <w:num w:numId="25">
    <w:abstractNumId w:val="38"/>
  </w:num>
  <w:num w:numId="26">
    <w:abstractNumId w:val="19"/>
  </w:num>
  <w:num w:numId="27">
    <w:abstractNumId w:val="21"/>
  </w:num>
  <w:num w:numId="28">
    <w:abstractNumId w:val="33"/>
  </w:num>
  <w:num w:numId="29">
    <w:abstractNumId w:val="1"/>
  </w:num>
  <w:num w:numId="30">
    <w:abstractNumId w:val="9"/>
  </w:num>
  <w:num w:numId="31">
    <w:abstractNumId w:val="27"/>
  </w:num>
  <w:num w:numId="32">
    <w:abstractNumId w:val="2"/>
  </w:num>
  <w:num w:numId="33">
    <w:abstractNumId w:val="17"/>
  </w:num>
  <w:num w:numId="34">
    <w:abstractNumId w:val="38"/>
  </w:num>
  <w:num w:numId="35">
    <w:abstractNumId w:val="20"/>
  </w:num>
  <w:num w:numId="36">
    <w:abstractNumId w:val="16"/>
  </w:num>
  <w:num w:numId="37">
    <w:abstractNumId w:val="15"/>
  </w:num>
  <w:num w:numId="38">
    <w:abstractNumId w:val="38"/>
  </w:num>
  <w:num w:numId="39">
    <w:abstractNumId w:val="30"/>
  </w:num>
  <w:num w:numId="40">
    <w:abstractNumId w:val="32"/>
  </w:num>
  <w:num w:numId="41">
    <w:abstractNumId w:val="37"/>
  </w:num>
  <w:num w:numId="42">
    <w:abstractNumId w:val="13"/>
  </w:num>
  <w:num w:numId="43">
    <w:abstractNumId w:val="18"/>
  </w:num>
  <w:num w:numId="44">
    <w:abstractNumId w:val="8"/>
  </w:num>
  <w:num w:numId="45">
    <w:abstractNumId w:val="7"/>
  </w:num>
  <w:num w:numId="46">
    <w:abstractNumId w:val="34"/>
  </w:num>
  <w:num w:numId="47">
    <w:abstractNumId w:val="36"/>
  </w:num>
  <w:num w:numId="48">
    <w:abstractNumId w:val="4"/>
  </w:num>
  <w:num w:numId="49">
    <w:abstractNumId w:val="38"/>
  </w:num>
  <w:num w:numId="5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11">
    <w:name w:val="Heading 1 Char"/>
    <w:basedOn w:val="837"/>
    <w:link w:val="828"/>
    <w:uiPriority w:val="9"/>
    <w:rPr>
      <w:rFonts w:ascii="Arial" w:hAnsi="Arial" w:eastAsia="Arial" w:cs="Arial"/>
      <w:sz w:val="40"/>
      <w:szCs w:val="40"/>
    </w:rPr>
  </w:style>
  <w:style w:type="character" w:styleId="812">
    <w:name w:val="Heading 2 Char"/>
    <w:basedOn w:val="837"/>
    <w:link w:val="829"/>
    <w:uiPriority w:val="9"/>
    <w:rPr>
      <w:rFonts w:ascii="Arial" w:hAnsi="Arial" w:eastAsia="Arial" w:cs="Arial"/>
      <w:sz w:val="34"/>
    </w:rPr>
  </w:style>
  <w:style w:type="character" w:styleId="813">
    <w:name w:val="Heading 3 Char"/>
    <w:basedOn w:val="837"/>
    <w:link w:val="830"/>
    <w:uiPriority w:val="9"/>
    <w:rPr>
      <w:rFonts w:ascii="Arial" w:hAnsi="Arial" w:eastAsia="Arial" w:cs="Arial"/>
      <w:sz w:val="30"/>
      <w:szCs w:val="30"/>
    </w:rPr>
  </w:style>
  <w:style w:type="character" w:styleId="814">
    <w:name w:val="Heading 4 Char"/>
    <w:basedOn w:val="837"/>
    <w:link w:val="831"/>
    <w:uiPriority w:val="9"/>
    <w:rPr>
      <w:rFonts w:ascii="Arial" w:hAnsi="Arial" w:eastAsia="Arial" w:cs="Arial"/>
      <w:b/>
      <w:bCs/>
      <w:sz w:val="26"/>
      <w:szCs w:val="26"/>
    </w:rPr>
  </w:style>
  <w:style w:type="character" w:styleId="815">
    <w:name w:val="Heading 5 Char"/>
    <w:basedOn w:val="837"/>
    <w:link w:val="832"/>
    <w:uiPriority w:val="9"/>
    <w:rPr>
      <w:rFonts w:ascii="Arial" w:hAnsi="Arial" w:eastAsia="Arial" w:cs="Arial"/>
      <w:b/>
      <w:bCs/>
      <w:sz w:val="24"/>
      <w:szCs w:val="24"/>
    </w:rPr>
  </w:style>
  <w:style w:type="character" w:styleId="816">
    <w:name w:val="Heading 6 Char"/>
    <w:basedOn w:val="837"/>
    <w:link w:val="833"/>
    <w:uiPriority w:val="9"/>
    <w:rPr>
      <w:rFonts w:ascii="Arial" w:hAnsi="Arial" w:eastAsia="Arial" w:cs="Arial"/>
      <w:b/>
      <w:bCs/>
      <w:sz w:val="22"/>
      <w:szCs w:val="22"/>
    </w:rPr>
  </w:style>
  <w:style w:type="character" w:styleId="817">
    <w:name w:val="Heading 7 Char"/>
    <w:basedOn w:val="837"/>
    <w:link w:val="83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18">
    <w:name w:val="Heading 8 Char"/>
    <w:basedOn w:val="837"/>
    <w:link w:val="835"/>
    <w:uiPriority w:val="9"/>
    <w:rPr>
      <w:rFonts w:ascii="Arial" w:hAnsi="Arial" w:eastAsia="Arial" w:cs="Arial"/>
      <w:i/>
      <w:iCs/>
      <w:sz w:val="22"/>
      <w:szCs w:val="22"/>
    </w:rPr>
  </w:style>
  <w:style w:type="character" w:styleId="819">
    <w:name w:val="Heading 9 Char"/>
    <w:basedOn w:val="837"/>
    <w:link w:val="836"/>
    <w:uiPriority w:val="9"/>
    <w:rPr>
      <w:rFonts w:ascii="Arial" w:hAnsi="Arial" w:eastAsia="Arial" w:cs="Arial"/>
      <w:i/>
      <w:iCs/>
      <w:sz w:val="21"/>
      <w:szCs w:val="21"/>
    </w:rPr>
  </w:style>
  <w:style w:type="character" w:styleId="820">
    <w:name w:val="Title Char"/>
    <w:basedOn w:val="837"/>
    <w:link w:val="851"/>
    <w:uiPriority w:val="10"/>
    <w:rPr>
      <w:sz w:val="48"/>
      <w:szCs w:val="48"/>
    </w:rPr>
  </w:style>
  <w:style w:type="character" w:styleId="821">
    <w:name w:val="Subtitle Char"/>
    <w:basedOn w:val="837"/>
    <w:link w:val="853"/>
    <w:uiPriority w:val="11"/>
    <w:rPr>
      <w:sz w:val="24"/>
      <w:szCs w:val="24"/>
    </w:rPr>
  </w:style>
  <w:style w:type="character" w:styleId="822">
    <w:name w:val="Quote Char"/>
    <w:link w:val="855"/>
    <w:uiPriority w:val="29"/>
    <w:rPr>
      <w:i/>
    </w:rPr>
  </w:style>
  <w:style w:type="character" w:styleId="823">
    <w:name w:val="Intense Quote Char"/>
    <w:link w:val="857"/>
    <w:uiPriority w:val="30"/>
    <w:rPr>
      <w:i/>
    </w:rPr>
  </w:style>
  <w:style w:type="character" w:styleId="824">
    <w:name w:val="Caption Char"/>
    <w:basedOn w:val="863"/>
    <w:link w:val="861"/>
    <w:uiPriority w:val="99"/>
  </w:style>
  <w:style w:type="character" w:styleId="825">
    <w:name w:val="Footnote Text Char"/>
    <w:link w:val="992"/>
    <w:uiPriority w:val="99"/>
    <w:rPr>
      <w:sz w:val="18"/>
    </w:rPr>
  </w:style>
  <w:style w:type="character" w:styleId="826">
    <w:name w:val="Endnote Text Char"/>
    <w:link w:val="995"/>
    <w:uiPriority w:val="99"/>
    <w:rPr>
      <w:sz w:val="20"/>
    </w:rPr>
  </w:style>
  <w:style w:type="paragraph" w:styleId="827" w:default="1">
    <w:name w:val="Normal"/>
    <w:qFormat/>
    <w:pPr>
      <w:ind w:firstLine="567"/>
      <w:jc w:val="both"/>
      <w:spacing w:line="360" w:lineRule="auto"/>
    </w:pPr>
    <w:rPr>
      <w:sz w:val="28"/>
      <w:lang w:eastAsia="ru-RU"/>
    </w:rPr>
  </w:style>
  <w:style w:type="paragraph" w:styleId="828">
    <w:name w:val="Heading 1"/>
    <w:basedOn w:val="827"/>
    <w:next w:val="827"/>
    <w:link w:val="840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829">
    <w:name w:val="Heading 2"/>
    <w:basedOn w:val="827"/>
    <w:next w:val="827"/>
    <w:link w:val="84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830">
    <w:name w:val="Heading 3"/>
    <w:basedOn w:val="827"/>
    <w:next w:val="827"/>
    <w:link w:val="842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831">
    <w:name w:val="Heading 4"/>
    <w:basedOn w:val="827"/>
    <w:next w:val="827"/>
    <w:link w:val="84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832">
    <w:name w:val="Heading 5"/>
    <w:basedOn w:val="827"/>
    <w:next w:val="827"/>
    <w:link w:val="84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833">
    <w:name w:val="Heading 6"/>
    <w:basedOn w:val="827"/>
    <w:next w:val="827"/>
    <w:link w:val="84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834">
    <w:name w:val="Heading 7"/>
    <w:basedOn w:val="827"/>
    <w:next w:val="827"/>
    <w:link w:val="84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835">
    <w:name w:val="Heading 8"/>
    <w:basedOn w:val="827"/>
    <w:next w:val="827"/>
    <w:link w:val="84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836">
    <w:name w:val="Heading 9"/>
    <w:basedOn w:val="827"/>
    <w:next w:val="827"/>
    <w:link w:val="84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37" w:default="1">
    <w:name w:val="Default Paragraph Font"/>
    <w:uiPriority w:val="1"/>
    <w:semiHidden/>
    <w:unhideWhenUsed/>
  </w:style>
  <w:style w:type="table" w:styleId="83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9" w:default="1">
    <w:name w:val="No List"/>
    <w:uiPriority w:val="99"/>
    <w:semiHidden/>
    <w:unhideWhenUsed/>
  </w:style>
  <w:style w:type="character" w:styleId="840" w:customStyle="1">
    <w:name w:val="Заголовок 1 Знак"/>
    <w:link w:val="828"/>
    <w:uiPriority w:val="9"/>
    <w:rPr>
      <w:rFonts w:ascii="Arial" w:hAnsi="Arial" w:eastAsia="Arial" w:cs="Arial"/>
      <w:sz w:val="40"/>
      <w:szCs w:val="40"/>
    </w:rPr>
  </w:style>
  <w:style w:type="character" w:styleId="841" w:customStyle="1">
    <w:name w:val="Заголовок 2 Знак"/>
    <w:link w:val="829"/>
    <w:uiPriority w:val="9"/>
    <w:rPr>
      <w:rFonts w:ascii="Arial" w:hAnsi="Arial" w:eastAsia="Arial" w:cs="Arial"/>
      <w:sz w:val="34"/>
    </w:rPr>
  </w:style>
  <w:style w:type="character" w:styleId="842" w:customStyle="1">
    <w:name w:val="Заголовок 3 Знак"/>
    <w:link w:val="830"/>
    <w:uiPriority w:val="9"/>
    <w:rPr>
      <w:rFonts w:ascii="Arial" w:hAnsi="Arial" w:eastAsia="Arial" w:cs="Arial"/>
      <w:sz w:val="30"/>
      <w:szCs w:val="30"/>
    </w:rPr>
  </w:style>
  <w:style w:type="character" w:styleId="843" w:customStyle="1">
    <w:name w:val="Заголовок 4 Знак"/>
    <w:link w:val="831"/>
    <w:uiPriority w:val="9"/>
    <w:rPr>
      <w:rFonts w:ascii="Arial" w:hAnsi="Arial" w:eastAsia="Arial" w:cs="Arial"/>
      <w:b/>
      <w:bCs/>
      <w:sz w:val="26"/>
      <w:szCs w:val="26"/>
    </w:rPr>
  </w:style>
  <w:style w:type="character" w:styleId="844" w:customStyle="1">
    <w:name w:val="Заголовок 5 Знак"/>
    <w:link w:val="832"/>
    <w:uiPriority w:val="9"/>
    <w:rPr>
      <w:rFonts w:ascii="Arial" w:hAnsi="Arial" w:eastAsia="Arial" w:cs="Arial"/>
      <w:b/>
      <w:bCs/>
      <w:sz w:val="24"/>
      <w:szCs w:val="24"/>
    </w:rPr>
  </w:style>
  <w:style w:type="character" w:styleId="845" w:customStyle="1">
    <w:name w:val="Заголовок 6 Знак"/>
    <w:link w:val="833"/>
    <w:uiPriority w:val="9"/>
    <w:rPr>
      <w:rFonts w:ascii="Arial" w:hAnsi="Arial" w:eastAsia="Arial" w:cs="Arial"/>
      <w:b/>
      <w:bCs/>
      <w:sz w:val="22"/>
      <w:szCs w:val="22"/>
    </w:rPr>
  </w:style>
  <w:style w:type="character" w:styleId="846" w:customStyle="1">
    <w:name w:val="Заголовок 7 Знак"/>
    <w:link w:val="83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47" w:customStyle="1">
    <w:name w:val="Заголовок 8 Знак"/>
    <w:link w:val="835"/>
    <w:uiPriority w:val="9"/>
    <w:rPr>
      <w:rFonts w:ascii="Arial" w:hAnsi="Arial" w:eastAsia="Arial" w:cs="Arial"/>
      <w:i/>
      <w:iCs/>
      <w:sz w:val="22"/>
      <w:szCs w:val="22"/>
    </w:rPr>
  </w:style>
  <w:style w:type="character" w:styleId="848" w:customStyle="1">
    <w:name w:val="Заголовок 9 Знак"/>
    <w:link w:val="836"/>
    <w:uiPriority w:val="9"/>
    <w:rPr>
      <w:rFonts w:ascii="Arial" w:hAnsi="Arial" w:eastAsia="Arial" w:cs="Arial"/>
      <w:i/>
      <w:iCs/>
      <w:sz w:val="21"/>
      <w:szCs w:val="21"/>
    </w:rPr>
  </w:style>
  <w:style w:type="paragraph" w:styleId="849">
    <w:name w:val="List Paragraph"/>
    <w:basedOn w:val="827"/>
    <w:uiPriority w:val="34"/>
    <w:qFormat/>
    <w:pPr>
      <w:contextualSpacing/>
      <w:ind w:left="720"/>
    </w:pPr>
  </w:style>
  <w:style w:type="paragraph" w:styleId="850">
    <w:name w:val="No Spacing"/>
    <w:basedOn w:val="827"/>
    <w:uiPriority w:val="1"/>
    <w:qFormat/>
    <w:pPr>
      <w:ind w:firstLine="0"/>
      <w:jc w:val="left"/>
      <w:spacing w:line="240" w:lineRule="auto"/>
    </w:pPr>
    <w:rPr>
      <w:rFonts w:ascii="Calibri" w:hAnsi="Calibri" w:eastAsia="Calibri" w:cs="Calibri"/>
      <w:sz w:val="22"/>
      <w:szCs w:val="22"/>
    </w:rPr>
  </w:style>
  <w:style w:type="paragraph" w:styleId="851">
    <w:name w:val="Title"/>
    <w:basedOn w:val="827"/>
    <w:next w:val="827"/>
    <w:link w:val="85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52" w:customStyle="1">
    <w:name w:val="Название Знак"/>
    <w:link w:val="851"/>
    <w:uiPriority w:val="10"/>
    <w:rPr>
      <w:sz w:val="48"/>
      <w:szCs w:val="48"/>
    </w:rPr>
  </w:style>
  <w:style w:type="paragraph" w:styleId="853">
    <w:name w:val="Subtitle"/>
    <w:basedOn w:val="827"/>
    <w:next w:val="827"/>
    <w:link w:val="854"/>
    <w:uiPriority w:val="11"/>
    <w:qFormat/>
    <w:pPr>
      <w:spacing w:before="200" w:after="200"/>
    </w:pPr>
    <w:rPr>
      <w:sz w:val="24"/>
      <w:szCs w:val="24"/>
    </w:rPr>
  </w:style>
  <w:style w:type="character" w:styleId="854" w:customStyle="1">
    <w:name w:val="Подзаголовок Знак"/>
    <w:link w:val="853"/>
    <w:uiPriority w:val="11"/>
    <w:rPr>
      <w:sz w:val="24"/>
      <w:szCs w:val="24"/>
    </w:rPr>
  </w:style>
  <w:style w:type="paragraph" w:styleId="855">
    <w:name w:val="Quote"/>
    <w:basedOn w:val="827"/>
    <w:next w:val="827"/>
    <w:link w:val="856"/>
    <w:uiPriority w:val="29"/>
    <w:qFormat/>
    <w:pPr>
      <w:ind w:left="720" w:right="720"/>
    </w:pPr>
    <w:rPr>
      <w:i/>
    </w:rPr>
  </w:style>
  <w:style w:type="character" w:styleId="856" w:customStyle="1">
    <w:name w:val="Цитата 2 Знак"/>
    <w:link w:val="855"/>
    <w:uiPriority w:val="29"/>
    <w:rPr>
      <w:i/>
    </w:rPr>
  </w:style>
  <w:style w:type="paragraph" w:styleId="857">
    <w:name w:val="Intense Quote"/>
    <w:basedOn w:val="827"/>
    <w:next w:val="827"/>
    <w:link w:val="858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58" w:customStyle="1">
    <w:name w:val="Выделенная цитата Знак"/>
    <w:link w:val="857"/>
    <w:uiPriority w:val="30"/>
    <w:rPr>
      <w:i/>
    </w:rPr>
  </w:style>
  <w:style w:type="paragraph" w:styleId="859">
    <w:name w:val="Header"/>
    <w:basedOn w:val="827"/>
    <w:link w:val="1027"/>
    <w:pPr>
      <w:tabs>
        <w:tab w:val="center" w:pos="4677" w:leader="none"/>
        <w:tab w:val="right" w:pos="9355" w:leader="none"/>
      </w:tabs>
    </w:pPr>
  </w:style>
  <w:style w:type="character" w:styleId="860" w:customStyle="1">
    <w:name w:val="Header Char"/>
    <w:uiPriority w:val="99"/>
  </w:style>
  <w:style w:type="paragraph" w:styleId="861">
    <w:name w:val="Footer"/>
    <w:basedOn w:val="827"/>
    <w:link w:val="864"/>
    <w:pPr>
      <w:tabs>
        <w:tab w:val="center" w:pos="4677" w:leader="none"/>
        <w:tab w:val="right" w:pos="9355" w:leader="none"/>
      </w:tabs>
    </w:pPr>
  </w:style>
  <w:style w:type="character" w:styleId="862" w:customStyle="1">
    <w:name w:val="Footer Char"/>
    <w:uiPriority w:val="99"/>
  </w:style>
  <w:style w:type="paragraph" w:styleId="863">
    <w:name w:val="Caption"/>
    <w:basedOn w:val="827"/>
    <w:next w:val="82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64" w:customStyle="1">
    <w:name w:val="Нижний колонтитул Знак"/>
    <w:link w:val="861"/>
    <w:uiPriority w:val="99"/>
  </w:style>
  <w:style w:type="table" w:styleId="865">
    <w:name w:val="Table Grid"/>
    <w:basedOn w:val="838"/>
    <w:uiPriority w:val="59"/>
    <w:tblPr/>
  </w:style>
  <w:style w:type="table" w:styleId="866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67" w:customStyle="1">
    <w:name w:val="Plain Table 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68" w:customStyle="1">
    <w:name w:val="Plain Table 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69" w:customStyle="1">
    <w:name w:val="Plain Table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70" w:customStyle="1">
    <w:name w:val="Plain Table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 w:customStyle="1">
    <w:name w:val="Plain Table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72" w:customStyle="1">
    <w:name w:val="Grid Table 1 Light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3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4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6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7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8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9" w:customStyle="1">
    <w:name w:val="Grid Table 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 w:customStyle="1">
    <w:name w:val="Grid Table 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7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8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9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0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1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2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3" w:customStyle="1">
    <w:name w:val="Grid Table 4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94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95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96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97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98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99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900" w:customStyle="1">
    <w:name w:val="Grid Table 5 Dark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901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902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903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904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905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906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907" w:customStyle="1">
    <w:name w:val="Grid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908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909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910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911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912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913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914" w:customStyle="1">
    <w:name w:val="Grid Table 7 Colorful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5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6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7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8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9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0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1" w:customStyle="1">
    <w:name w:val="List Table 1 Light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2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3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4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5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6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7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8" w:customStyle="1">
    <w:name w:val="List Table 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929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930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931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932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933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934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935" w:customStyle="1">
    <w:name w:val="List Table 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6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7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8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9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0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1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2" w:customStyle="1">
    <w:name w:val="List Table 4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3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4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5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6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7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8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9" w:customStyle="1">
    <w:name w:val="List Table 5 Dark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50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51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52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53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54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55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56" w:customStyle="1">
    <w:name w:val="List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57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958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959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960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961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962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963" w:customStyle="1">
    <w:name w:val="List Table 7 Colorful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4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5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6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7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8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9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0" w:customStyle="1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71" w:customStyle="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72" w:customStyle="1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73" w:customStyle="1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74" w:customStyle="1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75" w:customStyle="1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76" w:customStyle="1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77" w:customStyle="1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78" w:customStyle="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79" w:customStyle="1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80" w:customStyle="1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81" w:customStyle="1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82" w:customStyle="1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83" w:customStyle="1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84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85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86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87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88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89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90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91">
    <w:name w:val="Hyperlink"/>
    <w:uiPriority w:val="99"/>
    <w:rPr>
      <w:color w:val="0000ff"/>
      <w:u w:val="single"/>
    </w:rPr>
  </w:style>
  <w:style w:type="paragraph" w:styleId="992">
    <w:name w:val="footnote text"/>
    <w:basedOn w:val="827"/>
    <w:link w:val="993"/>
    <w:uiPriority w:val="99"/>
    <w:semiHidden/>
    <w:unhideWhenUsed/>
    <w:pPr>
      <w:spacing w:after="40" w:line="240" w:lineRule="auto"/>
    </w:pPr>
    <w:rPr>
      <w:sz w:val="18"/>
    </w:rPr>
  </w:style>
  <w:style w:type="character" w:styleId="993" w:customStyle="1">
    <w:name w:val="Текст сноски Знак"/>
    <w:link w:val="992"/>
    <w:uiPriority w:val="99"/>
    <w:rPr>
      <w:sz w:val="18"/>
    </w:rPr>
  </w:style>
  <w:style w:type="character" w:styleId="994">
    <w:name w:val="footnote reference"/>
    <w:uiPriority w:val="99"/>
    <w:unhideWhenUsed/>
    <w:rPr>
      <w:vertAlign w:val="superscript"/>
    </w:rPr>
  </w:style>
  <w:style w:type="paragraph" w:styleId="995">
    <w:name w:val="endnote text"/>
    <w:basedOn w:val="827"/>
    <w:link w:val="996"/>
    <w:uiPriority w:val="99"/>
    <w:semiHidden/>
    <w:unhideWhenUsed/>
    <w:pPr>
      <w:spacing w:line="240" w:lineRule="auto"/>
    </w:pPr>
    <w:rPr>
      <w:sz w:val="20"/>
    </w:rPr>
  </w:style>
  <w:style w:type="character" w:styleId="996" w:customStyle="1">
    <w:name w:val="Текст концевой сноски Знак"/>
    <w:link w:val="995"/>
    <w:uiPriority w:val="99"/>
    <w:rPr>
      <w:sz w:val="20"/>
    </w:rPr>
  </w:style>
  <w:style w:type="character" w:styleId="997">
    <w:name w:val="endnote reference"/>
    <w:uiPriority w:val="99"/>
    <w:semiHidden/>
    <w:unhideWhenUsed/>
    <w:rPr>
      <w:vertAlign w:val="superscript"/>
    </w:rPr>
  </w:style>
  <w:style w:type="paragraph" w:styleId="998">
    <w:name w:val="toc 1"/>
    <w:basedOn w:val="827"/>
    <w:next w:val="827"/>
    <w:uiPriority w:val="39"/>
    <w:unhideWhenUsed/>
    <w:pPr>
      <w:ind w:firstLine="0"/>
      <w:spacing w:after="57"/>
    </w:pPr>
  </w:style>
  <w:style w:type="paragraph" w:styleId="999">
    <w:name w:val="toc 2"/>
    <w:basedOn w:val="827"/>
    <w:next w:val="827"/>
    <w:uiPriority w:val="39"/>
    <w:unhideWhenUsed/>
    <w:pPr>
      <w:ind w:left="283" w:firstLine="0"/>
      <w:spacing w:after="57"/>
    </w:pPr>
  </w:style>
  <w:style w:type="paragraph" w:styleId="1000">
    <w:name w:val="toc 3"/>
    <w:basedOn w:val="827"/>
    <w:next w:val="827"/>
    <w:uiPriority w:val="39"/>
    <w:unhideWhenUsed/>
    <w:pPr>
      <w:ind w:left="567" w:firstLine="0"/>
      <w:spacing w:after="57"/>
    </w:pPr>
  </w:style>
  <w:style w:type="paragraph" w:styleId="1001">
    <w:name w:val="toc 4"/>
    <w:basedOn w:val="827"/>
    <w:next w:val="827"/>
    <w:uiPriority w:val="39"/>
    <w:unhideWhenUsed/>
    <w:pPr>
      <w:ind w:left="850" w:firstLine="0"/>
      <w:spacing w:after="57"/>
    </w:pPr>
  </w:style>
  <w:style w:type="paragraph" w:styleId="1002">
    <w:name w:val="toc 5"/>
    <w:basedOn w:val="827"/>
    <w:next w:val="827"/>
    <w:uiPriority w:val="39"/>
    <w:unhideWhenUsed/>
    <w:pPr>
      <w:ind w:left="1134" w:firstLine="0"/>
      <w:spacing w:after="57"/>
    </w:pPr>
  </w:style>
  <w:style w:type="paragraph" w:styleId="1003">
    <w:name w:val="toc 6"/>
    <w:basedOn w:val="827"/>
    <w:next w:val="827"/>
    <w:uiPriority w:val="39"/>
    <w:unhideWhenUsed/>
    <w:pPr>
      <w:ind w:left="1417" w:firstLine="0"/>
      <w:spacing w:after="57"/>
    </w:pPr>
  </w:style>
  <w:style w:type="paragraph" w:styleId="1004">
    <w:name w:val="toc 7"/>
    <w:basedOn w:val="827"/>
    <w:next w:val="827"/>
    <w:uiPriority w:val="39"/>
    <w:unhideWhenUsed/>
    <w:pPr>
      <w:ind w:left="1701" w:firstLine="0"/>
      <w:spacing w:after="57"/>
    </w:pPr>
  </w:style>
  <w:style w:type="paragraph" w:styleId="1005">
    <w:name w:val="toc 8"/>
    <w:basedOn w:val="827"/>
    <w:next w:val="827"/>
    <w:uiPriority w:val="39"/>
    <w:unhideWhenUsed/>
    <w:pPr>
      <w:ind w:left="1984" w:firstLine="0"/>
      <w:spacing w:after="57"/>
    </w:pPr>
  </w:style>
  <w:style w:type="paragraph" w:styleId="1006">
    <w:name w:val="toc 9"/>
    <w:basedOn w:val="827"/>
    <w:next w:val="827"/>
    <w:uiPriority w:val="39"/>
    <w:unhideWhenUsed/>
    <w:pPr>
      <w:ind w:left="2268" w:firstLine="0"/>
      <w:spacing w:after="57"/>
    </w:pPr>
  </w:style>
  <w:style w:type="paragraph" w:styleId="1007">
    <w:name w:val="TOC Heading"/>
    <w:uiPriority w:val="39"/>
    <w:unhideWhenUsed/>
  </w:style>
  <w:style w:type="paragraph" w:styleId="1008">
    <w:name w:val="table of figures"/>
    <w:basedOn w:val="827"/>
    <w:next w:val="827"/>
    <w:uiPriority w:val="99"/>
    <w:unhideWhenUsed/>
  </w:style>
  <w:style w:type="paragraph" w:styleId="1009" w:customStyle="1">
    <w:name w:val="Заголовок 2;Заголовок 2 Знак"/>
    <w:basedOn w:val="827"/>
    <w:next w:val="827"/>
    <w:qFormat/>
    <w:pPr>
      <w:ind w:left="1134" w:hanging="1134"/>
      <w:jc w:val="left"/>
      <w:keepNext/>
      <w:spacing w:before="360" w:after="120" w:line="240" w:lineRule="auto"/>
      <w:tabs>
        <w:tab w:val="num" w:pos="1134" w:leader="none"/>
      </w:tabs>
      <w:outlineLvl w:val="1"/>
    </w:pPr>
    <w:rPr>
      <w:b/>
      <w:sz w:val="32"/>
    </w:rPr>
  </w:style>
  <w:style w:type="paragraph" w:styleId="1010" w:customStyle="1">
    <w:name w:val="Заголовок 3;H3"/>
    <w:basedOn w:val="827"/>
    <w:next w:val="827"/>
    <w:uiPriority w:val="9"/>
    <w:qFormat/>
    <w:pPr>
      <w:numPr>
        <w:ilvl w:val="2"/>
        <w:numId w:val="1"/>
      </w:numPr>
      <w:jc w:val="left"/>
      <w:keepNext/>
      <w:spacing w:before="120" w:after="120" w:line="240" w:lineRule="auto"/>
      <w:outlineLvl w:val="2"/>
    </w:pPr>
    <w:rPr>
      <w:b/>
    </w:rPr>
  </w:style>
  <w:style w:type="paragraph" w:styleId="1011" w:customStyle="1">
    <w:name w:val="Заголовок 4;H4"/>
    <w:basedOn w:val="827"/>
    <w:next w:val="827"/>
    <w:uiPriority w:val="9"/>
    <w:qFormat/>
    <w:pPr>
      <w:numPr>
        <w:ilvl w:val="3"/>
        <w:numId w:val="1"/>
      </w:numPr>
      <w:ind w:left="1134"/>
      <w:keepNext/>
      <w:spacing w:before="240" w:after="120" w:line="240" w:lineRule="auto"/>
      <w:tabs>
        <w:tab w:val="num" w:pos="1134" w:leader="none"/>
        <w:tab w:val="clear" w:pos="1701" w:leader="none"/>
      </w:tabs>
      <w:outlineLvl w:val="3"/>
    </w:pPr>
    <w:rPr>
      <w:b/>
      <w:i/>
    </w:rPr>
  </w:style>
  <w:style w:type="character" w:styleId="1012" w:customStyle="1">
    <w:name w:val="комментарий"/>
    <w:rPr>
      <w:b/>
      <w:i/>
      <w:shd w:val="clear" w:color="auto" w:fill="ffff99"/>
    </w:rPr>
  </w:style>
  <w:style w:type="paragraph" w:styleId="1013" w:customStyle="1">
    <w:name w:val="Стиль Заголовок 1 + по ширине"/>
    <w:basedOn w:val="828"/>
    <w:pPr>
      <w:numPr>
        <w:ilvl w:val="0"/>
        <w:numId w:val="1"/>
      </w:numPr>
      <w:keepLines/>
      <w:spacing w:before="480" w:after="240" w:line="240" w:lineRule="auto"/>
    </w:pPr>
    <w:rPr>
      <w:rFonts w:cs="Times New Roman"/>
      <w:sz w:val="40"/>
      <w:szCs w:val="20"/>
    </w:rPr>
  </w:style>
  <w:style w:type="paragraph" w:styleId="1014">
    <w:name w:val="Body Text Indent"/>
    <w:basedOn w:val="827"/>
    <w:pPr>
      <w:ind w:left="-360"/>
      <w:spacing w:line="240" w:lineRule="auto"/>
      <w:tabs>
        <w:tab w:val="num" w:pos="720" w:leader="none"/>
      </w:tabs>
    </w:pPr>
    <w:rPr>
      <w:sz w:val="26"/>
    </w:rPr>
  </w:style>
  <w:style w:type="character" w:styleId="1015">
    <w:name w:val="page number"/>
    <w:basedOn w:val="837"/>
  </w:style>
  <w:style w:type="paragraph" w:styleId="1016">
    <w:name w:val="Balloon Text"/>
    <w:basedOn w:val="827"/>
    <w:semiHidden/>
    <w:rPr>
      <w:rFonts w:ascii="Tahoma" w:hAnsi="Tahoma" w:cs="Tahoma"/>
      <w:sz w:val="16"/>
      <w:szCs w:val="16"/>
    </w:rPr>
  </w:style>
  <w:style w:type="paragraph" w:styleId="1017" w:customStyle="1">
    <w:name w:val="Таблица текст"/>
    <w:basedOn w:val="827"/>
    <w:pPr>
      <w:ind w:left="57" w:right="57" w:firstLine="0"/>
      <w:jc w:val="left"/>
      <w:spacing w:before="40" w:after="40" w:line="240" w:lineRule="auto"/>
    </w:pPr>
    <w:rPr>
      <w:sz w:val="24"/>
    </w:rPr>
  </w:style>
  <w:style w:type="character" w:styleId="1018" w:customStyle="1">
    <w:name w:val="Пункт Знак"/>
    <w:rPr>
      <w:b/>
      <w:sz w:val="28"/>
      <w:szCs w:val="28"/>
      <w:lang w:val="ru-RU" w:eastAsia="ru-RU" w:bidi="ar-SA"/>
    </w:rPr>
  </w:style>
  <w:style w:type="paragraph" w:styleId="1019" w:customStyle="1">
    <w:name w:val="Пункт"/>
    <w:basedOn w:val="827"/>
    <w:link w:val="1029"/>
    <w:pPr>
      <w:ind w:left="1134" w:hanging="1134"/>
      <w:tabs>
        <w:tab w:val="num" w:pos="1134" w:leader="none"/>
      </w:tabs>
    </w:pPr>
    <w:rPr>
      <w:b/>
      <w:szCs w:val="28"/>
    </w:rPr>
  </w:style>
  <w:style w:type="paragraph" w:styleId="1020" w:customStyle="1">
    <w:name w:val="Пункт-2"/>
    <w:basedOn w:val="1019"/>
    <w:pPr>
      <w:keepNext/>
      <w:outlineLvl w:val="2"/>
    </w:pPr>
    <w:rPr>
      <w:b w:val="0"/>
    </w:rPr>
  </w:style>
  <w:style w:type="paragraph" w:styleId="1021" w:customStyle="1">
    <w:name w:val="Знак Знак Знак"/>
    <w:basedOn w:val="827"/>
    <w:pPr>
      <w:ind w:firstLine="0"/>
      <w:jc w:val="left"/>
      <w:spacing w:after="160" w:line="240" w:lineRule="exact"/>
      <w:tabs>
        <w:tab w:val="num" w:pos="360" w:leader="none"/>
      </w:tabs>
    </w:pPr>
    <w:rPr>
      <w:rFonts w:ascii="Verdana" w:hAnsi="Verdana" w:cs="Verdana"/>
      <w:sz w:val="20"/>
      <w:lang w:val="en-US" w:eastAsia="en-US"/>
    </w:rPr>
  </w:style>
  <w:style w:type="paragraph" w:styleId="1022" w:customStyle="1">
    <w:name w:val="Знак"/>
    <w:basedOn w:val="827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23">
    <w:name w:val="List Number"/>
    <w:basedOn w:val="827"/>
    <w:pPr>
      <w:numPr>
        <w:ilvl w:val="0"/>
        <w:numId w:val="10"/>
      </w:numPr>
      <w:spacing w:before="60"/>
    </w:pPr>
    <w:rPr>
      <w:bCs/>
      <w:sz w:val="22"/>
      <w:szCs w:val="24"/>
    </w:rPr>
  </w:style>
  <w:style w:type="paragraph" w:styleId="1024">
    <w:name w:val="Body Text Indent 2"/>
    <w:basedOn w:val="827"/>
    <w:pPr>
      <w:ind w:left="-540" w:firstLine="0"/>
      <w:jc w:val="center"/>
      <w:spacing w:line="240" w:lineRule="auto"/>
    </w:pPr>
    <w:rPr>
      <w:sz w:val="24"/>
    </w:rPr>
  </w:style>
  <w:style w:type="character" w:styleId="1025">
    <w:name w:val="Strong"/>
    <w:qFormat/>
    <w:rPr>
      <w:b/>
      <w:bCs/>
    </w:rPr>
  </w:style>
  <w:style w:type="paragraph" w:styleId="1026" w:customStyle="1">
    <w:name w:val="xl34"/>
    <w:basedOn w:val="827"/>
    <w:pPr>
      <w:ind w:firstLine="0"/>
      <w:jc w:val="left"/>
      <w:spacing w:before="100" w:beforeAutospacing="1" w:after="100" w:afterAutospacing="1" w:line="240" w:lineRule="auto"/>
      <w:pBdr>
        <w:left w:val="single" w:color="000000" w:sz="4" w:space="0"/>
        <w:right w:val="single" w:color="000000" w:sz="4" w:space="0"/>
      </w:pBdr>
    </w:pPr>
    <w:rPr>
      <w:rFonts w:ascii="Arial Unicode MS" w:hAnsi="Arial Unicode MS" w:eastAsia="Arial Unicode MS" w:cs="Arial Unicode MS"/>
      <w:sz w:val="24"/>
      <w:szCs w:val="24"/>
    </w:rPr>
  </w:style>
  <w:style w:type="character" w:styleId="1027" w:customStyle="1">
    <w:name w:val="Верхний колонтитул Знак"/>
    <w:link w:val="859"/>
    <w:rPr>
      <w:sz w:val="28"/>
      <w:lang w:val="ru-RU" w:eastAsia="ru-RU" w:bidi="ar-SA"/>
    </w:rPr>
  </w:style>
  <w:style w:type="paragraph" w:styleId="1028" w:customStyle="1">
    <w:name w:val="Знак Знак Знак Знак"/>
    <w:basedOn w:val="827"/>
    <w:pPr>
      <w:ind w:firstLine="0"/>
      <w:jc w:val="left"/>
      <w:spacing w:after="160" w:line="240" w:lineRule="exact"/>
      <w:tabs>
        <w:tab w:val="num" w:pos="360" w:leader="none"/>
      </w:tabs>
    </w:pPr>
    <w:rPr>
      <w:rFonts w:ascii="Verdana" w:hAnsi="Verdana" w:cs="Verdana"/>
      <w:sz w:val="20"/>
      <w:lang w:val="en-US" w:eastAsia="en-US"/>
    </w:rPr>
  </w:style>
  <w:style w:type="character" w:styleId="1029" w:customStyle="1">
    <w:name w:val="Пункт Знак1"/>
    <w:link w:val="1019"/>
    <w:rPr>
      <w:b/>
      <w:sz w:val="28"/>
      <w:szCs w:val="28"/>
      <w:lang w:val="ru-RU" w:eastAsia="ru-RU" w:bidi="ar-SA"/>
    </w:rPr>
  </w:style>
  <w:style w:type="paragraph" w:styleId="1030" w:customStyle="1">
    <w:name w:val="Знак Знак Знак1 Знак Знак Знак Знак Знак Знак Знак"/>
    <w:basedOn w:val="827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31" w:customStyle="1">
    <w:name w:val="Ариал"/>
    <w:basedOn w:val="827"/>
    <w:pPr>
      <w:ind w:firstLine="851"/>
      <w:spacing w:before="120" w:after="120"/>
    </w:pPr>
    <w:rPr>
      <w:rFonts w:ascii="Arial" w:hAnsi="Arial" w:cs="Arial"/>
      <w:sz w:val="24"/>
      <w:szCs w:val="24"/>
    </w:rPr>
  </w:style>
  <w:style w:type="paragraph" w:styleId="1032" w:customStyle="1">
    <w:name w:val="Знак Знак Знак Знак Знак Знак Знак"/>
    <w:basedOn w:val="827"/>
    <w:pPr>
      <w:ind w:firstLine="0"/>
      <w:jc w:val="left"/>
      <w:spacing w:after="160" w:line="240" w:lineRule="exact"/>
      <w:tabs>
        <w:tab w:val="num" w:pos="360" w:leader="none"/>
      </w:tabs>
    </w:pPr>
    <w:rPr>
      <w:rFonts w:ascii="Verdana" w:hAnsi="Verdana" w:cs="Verdana"/>
      <w:sz w:val="20"/>
      <w:lang w:val="en-US" w:eastAsia="en-US"/>
    </w:rPr>
  </w:style>
  <w:style w:type="paragraph" w:styleId="1033" w:customStyle="1">
    <w:name w:val="Обычный3"/>
    <w:pPr>
      <w:ind w:firstLine="400"/>
      <w:jc w:val="both"/>
      <w:widowControl w:val="off"/>
    </w:pPr>
    <w:rPr>
      <w:sz w:val="24"/>
      <w:lang w:eastAsia="ru-RU"/>
    </w:rPr>
  </w:style>
  <w:style w:type="paragraph" w:styleId="1034" w:customStyle="1">
    <w:name w:val="Обычный4"/>
    <w:rPr>
      <w:rFonts w:ascii="Arial" w:hAnsi="Arial"/>
      <w:sz w:val="18"/>
      <w:lang w:eastAsia="ru-RU"/>
    </w:rPr>
  </w:style>
  <w:style w:type="paragraph" w:styleId="1035" w:customStyle="1">
    <w:name w:val="Обычный5"/>
    <w:pPr>
      <w:ind w:firstLine="400"/>
      <w:jc w:val="both"/>
      <w:widowControl w:val="off"/>
    </w:pPr>
    <w:rPr>
      <w:sz w:val="24"/>
      <w:lang w:eastAsia="ru-RU"/>
    </w:rPr>
  </w:style>
  <w:style w:type="paragraph" w:styleId="1036" w:customStyle="1">
    <w:name w:val="Обычный2"/>
    <w:pPr>
      <w:spacing w:before="100" w:after="100"/>
    </w:pPr>
    <w:rPr>
      <w:sz w:val="24"/>
      <w:lang w:eastAsia="ru-RU"/>
    </w:rPr>
  </w:style>
  <w:style w:type="paragraph" w:styleId="1037">
    <w:name w:val="Normal (Web)"/>
    <w:basedOn w:val="827"/>
    <w:uiPriority w:val="99"/>
    <w:pPr>
      <w:ind w:firstLine="0"/>
      <w:jc w:val="left"/>
      <w:spacing w:before="100" w:beforeAutospacing="1" w:after="100" w:afterAutospacing="1" w:line="240" w:lineRule="auto"/>
    </w:pPr>
    <w:rPr>
      <w:sz w:val="24"/>
      <w:szCs w:val="24"/>
    </w:rPr>
  </w:style>
  <w:style w:type="character" w:styleId="1038" w:customStyle="1">
    <w:name w:val="webofficeattributevalue1"/>
    <w:rPr>
      <w:rFonts w:ascii="Verdana" w:hAnsi="Verdana"/>
      <w:color w:val="000000"/>
      <w:sz w:val="16"/>
      <w:szCs w:val="16"/>
      <w:u w:val="none"/>
    </w:rPr>
  </w:style>
  <w:style w:type="paragraph" w:styleId="1039" w:customStyle="1">
    <w:name w:val="Обычный1"/>
    <w:pPr>
      <w:ind w:firstLine="400"/>
      <w:jc w:val="both"/>
      <w:widowControl w:val="off"/>
    </w:pPr>
    <w:rPr>
      <w:sz w:val="24"/>
      <w:lang w:eastAsia="ru-RU"/>
    </w:rPr>
  </w:style>
  <w:style w:type="paragraph" w:styleId="1040" w:customStyle="1">
    <w:name w:val="Абзац списка;Маркер;List Paragraph;название;Bullet Number;Нумерованый список;Bullet List;FooterText;numbered;lp1;Абзац списка2;SL_Абзац списка;List Paragraph1;Абзац списка4;ПАРАГРАФ;f_Абзац 1;Абзац списка3;Абзац списка11;Текстовая;3_Абзац списка;таблица"/>
    <w:basedOn w:val="827"/>
    <w:link w:val="1051"/>
    <w:uiPriority w:val="34"/>
    <w:qFormat/>
    <w:pPr>
      <w:contextualSpacing/>
      <w:ind w:left="720"/>
    </w:pPr>
    <w:rPr>
      <w:lang w:eastAsia="ar-SA"/>
    </w:rPr>
  </w:style>
  <w:style w:type="character" w:styleId="1041" w:customStyle="1">
    <w:name w:val="value"/>
    <w:basedOn w:val="837"/>
  </w:style>
  <w:style w:type="character" w:styleId="1042" w:customStyle="1">
    <w:name w:val="x-small1"/>
    <w:rPr>
      <w:sz w:val="18"/>
      <w:szCs w:val="18"/>
    </w:rPr>
  </w:style>
  <w:style w:type="character" w:styleId="1043">
    <w:name w:val="Placeholder Text"/>
    <w:uiPriority w:val="99"/>
    <w:semiHidden/>
    <w:rPr>
      <w:color w:val="808080"/>
    </w:rPr>
  </w:style>
  <w:style w:type="paragraph" w:styleId="1044" w:customStyle="1">
    <w:name w:val="Название;Знак6"/>
    <w:basedOn w:val="827"/>
    <w:link w:val="1045"/>
    <w:uiPriority w:val="10"/>
    <w:qFormat/>
    <w:pPr>
      <w:ind w:firstLine="0"/>
      <w:jc w:val="center"/>
    </w:pPr>
    <w:rPr>
      <w:szCs w:val="24"/>
      <w:lang w:val="en-US" w:eastAsia="en-US"/>
    </w:rPr>
  </w:style>
  <w:style w:type="character" w:styleId="1045" w:customStyle="1">
    <w:name w:val="Название Знак;Знак6 Знак"/>
    <w:link w:val="1044"/>
    <w:uiPriority w:val="10"/>
    <w:rPr>
      <w:sz w:val="28"/>
      <w:szCs w:val="24"/>
    </w:rPr>
  </w:style>
  <w:style w:type="character" w:styleId="1046">
    <w:name w:val="annotation reference"/>
    <w:rPr>
      <w:sz w:val="16"/>
      <w:szCs w:val="16"/>
    </w:rPr>
  </w:style>
  <w:style w:type="paragraph" w:styleId="1047">
    <w:name w:val="annotation text"/>
    <w:basedOn w:val="827"/>
    <w:link w:val="1048"/>
    <w:rPr>
      <w:sz w:val="20"/>
      <w:lang w:val="en-US" w:eastAsia="en-US"/>
    </w:rPr>
  </w:style>
  <w:style w:type="character" w:styleId="1048" w:customStyle="1">
    <w:name w:val="Текст примечания Знак"/>
    <w:link w:val="1047"/>
  </w:style>
  <w:style w:type="paragraph" w:styleId="1049">
    <w:name w:val="annotation subject"/>
    <w:basedOn w:val="1047"/>
    <w:next w:val="1047"/>
    <w:link w:val="1050"/>
    <w:rPr>
      <w:b/>
      <w:bCs/>
    </w:rPr>
  </w:style>
  <w:style w:type="character" w:styleId="1050" w:customStyle="1">
    <w:name w:val="Тема примечания Знак"/>
    <w:link w:val="1049"/>
    <w:rPr>
      <w:b/>
      <w:bCs/>
    </w:rPr>
  </w:style>
  <w:style w:type="character" w:styleId="1051" w:customStyle="1">
    <w:name w:val="Абзац списка Знак;Маркер Знак;List Paragraph Знак;название Знак;Bullet Number Знак;Нумерованый список Знак;Bullet List Знак;FooterText Знак;numbered Знак;lp1 Знак;Абзац списка2 Знак;SL_Абзац списка Знак;List Paragraph1 Знак;Абзац списка4 Знак;Таблицы Зн"/>
    <w:link w:val="1040"/>
    <w:uiPriority w:val="34"/>
    <w:qFormat/>
    <w:rPr>
      <w:sz w:val="28"/>
      <w:lang w:eastAsia="ar-SA"/>
    </w:rPr>
  </w:style>
  <w:style w:type="paragraph" w:styleId="1052" w:customStyle="1">
    <w:name w:val="Default"/>
    <w:rPr>
      <w:color w:val="000000"/>
      <w:sz w:val="24"/>
      <w:szCs w:val="24"/>
      <w:lang w:eastAsia="ru-RU"/>
    </w:rPr>
  </w:style>
  <w:style w:type="character" w:styleId="1053" w:customStyle="1">
    <w:name w:val="ШапкаОсн"/>
    <w:rPr>
      <w:rFonts w:ascii="Arial" w:hAnsi="Arial"/>
      <w:b/>
      <w:spacing w:val="0"/>
      <w:sz w:val="18"/>
    </w:rPr>
  </w:style>
  <w:style w:type="paragraph" w:styleId="1054" w:customStyle="1">
    <w:name w:val="Подпункт"/>
    <w:basedOn w:val="827"/>
    <w:link w:val="1055"/>
    <w:pPr>
      <w:ind w:left="1701" w:hanging="1134"/>
      <w:tabs>
        <w:tab w:val="num" w:pos="1701" w:leader="none"/>
      </w:tabs>
    </w:pPr>
    <w:rPr>
      <w:sz w:val="22"/>
      <w:lang w:val="en-US" w:eastAsia="en-US"/>
    </w:rPr>
  </w:style>
  <w:style w:type="character" w:styleId="1055" w:customStyle="1">
    <w:name w:val="Подпункт Знак1"/>
    <w:link w:val="1054"/>
    <w:rPr>
      <w:sz w:val="22"/>
      <w:lang w:val="en-US" w:eastAsia="en-US"/>
    </w:rPr>
  </w:style>
  <w:style w:type="paragraph" w:styleId="1056" w:customStyle="1">
    <w:name w:val="cxspmiddle_mr_css_attr"/>
    <w:basedOn w:val="827"/>
    <w:uiPriority w:val="99"/>
    <w:pPr>
      <w:ind w:firstLine="0"/>
      <w:jc w:val="left"/>
      <w:spacing w:before="100" w:beforeAutospacing="1" w:after="100" w:afterAutospacing="1" w:line="240" w:lineRule="auto"/>
    </w:pPr>
    <w:rPr>
      <w:sz w:val="24"/>
      <w:szCs w:val="24"/>
    </w:rPr>
  </w:style>
  <w:style w:type="paragraph" w:styleId="1057">
    <w:name w:val="Body Text 2"/>
    <w:basedOn w:val="827"/>
    <w:link w:val="1058"/>
    <w:pPr>
      <w:spacing w:after="120" w:line="480" w:lineRule="auto"/>
    </w:pPr>
  </w:style>
  <w:style w:type="character" w:styleId="1058" w:customStyle="1">
    <w:name w:val="Основной текст 2 Знак"/>
    <w:link w:val="1057"/>
    <w:rPr>
      <w:sz w:val="2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hyperlink" Target="https://tender.lot-online.ru" TargetMode="External"/><Relationship Id="rId12" Type="http://schemas.openxmlformats.org/officeDocument/2006/relationships/hyperlink" Target="https://tender.lot-online.ru/fx/gpms/ru.naumen.gpms.ui.published_jsp?uuid=corebo19718u80000pbcov8g0g9li78k" TargetMode="External"/><Relationship Id="rId13" Type="http://schemas.openxmlformats.org/officeDocument/2006/relationships/hyperlink" Target="https://tender.lot-online.ru/fx/gpms/ru.naumen.gpms.ui.published_jsp?uuid=corebo19718u80000pbcov8g0g9li78k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Р7-Офис/7.4.0.341</Application>
  <Company>energy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заседания Конкурсной комиссии по оценке конкурсных заявок и выбору Победителя конкурса</dc:title>
  <dc:subject>B2B-Moesk №1036357</dc:subject>
  <dc:creator>moesk</dc:creator>
  <dc:description>1815</dc:description>
  <cp:revision>104</cp:revision>
  <dcterms:created xsi:type="dcterms:W3CDTF">2021-08-12T13:12:00Z</dcterms:created>
  <dcterms:modified xsi:type="dcterms:W3CDTF">2025-04-15T10:26:46Z</dcterms:modified>
  <cp:version>917504</cp:version>
</cp:coreProperties>
</file>